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698" w:rsidRPr="005C7A77" w:rsidRDefault="003F4698"/>
    <w:p w:rsidR="005C7A77" w:rsidRPr="005C7A77" w:rsidRDefault="005C7A77" w:rsidP="005C7A77">
      <w:pPr>
        <w:spacing w:after="375" w:line="780" w:lineRule="atLeast"/>
        <w:jc w:val="left"/>
        <w:outlineLvl w:val="0"/>
        <w:rPr>
          <w:rFonts w:ascii="Times New Roman" w:eastAsia="Times New Roman" w:hAnsi="Times New Roman" w:cs="Times New Roman"/>
          <w:b/>
          <w:kern w:val="36"/>
          <w:sz w:val="28"/>
          <w:szCs w:val="28"/>
          <w:lang w:eastAsia="it-IT"/>
        </w:rPr>
      </w:pPr>
      <w:r w:rsidRPr="005B7493">
        <w:rPr>
          <w:rFonts w:ascii="Times New Roman" w:eastAsia="Times New Roman" w:hAnsi="Times New Roman" w:cs="Times New Roman"/>
          <w:b/>
          <w:kern w:val="36"/>
          <w:sz w:val="28"/>
          <w:szCs w:val="28"/>
          <w:lang w:eastAsia="it-IT"/>
        </w:rPr>
        <w:t>Tr</w:t>
      </w:r>
      <w:r w:rsidRPr="005C7A77">
        <w:rPr>
          <w:rFonts w:ascii="Times New Roman" w:eastAsia="Times New Roman" w:hAnsi="Times New Roman" w:cs="Times New Roman"/>
          <w:b/>
          <w:kern w:val="36"/>
          <w:sz w:val="28"/>
          <w:szCs w:val="28"/>
          <w:lang w:eastAsia="it-IT"/>
        </w:rPr>
        <w:t xml:space="preserve">asparenza forniture </w:t>
      </w:r>
    </w:p>
    <w:p w:rsidR="005C7A77" w:rsidRPr="005C7A77" w:rsidRDefault="005C7A77" w:rsidP="000D6321">
      <w:pPr>
        <w:spacing w:after="195" w:line="240" w:lineRule="auto"/>
        <w:rPr>
          <w:rFonts w:ascii="Times New Roman" w:eastAsia="Times New Roman" w:hAnsi="Times New Roman" w:cs="Times New Roman"/>
          <w:sz w:val="24"/>
          <w:szCs w:val="24"/>
          <w:lang w:eastAsia="it-IT"/>
        </w:rPr>
      </w:pPr>
      <w:r w:rsidRPr="005C7A77">
        <w:rPr>
          <w:rFonts w:ascii="Times New Roman" w:eastAsia="Times New Roman" w:hAnsi="Times New Roman" w:cs="Times New Roman"/>
          <w:sz w:val="24"/>
          <w:szCs w:val="24"/>
          <w:lang w:eastAsia="it-IT"/>
        </w:rPr>
        <w:t>La Fondazione</w:t>
      </w:r>
      <w:r>
        <w:rPr>
          <w:rFonts w:ascii="Times New Roman" w:eastAsia="Times New Roman" w:hAnsi="Times New Roman" w:cs="Times New Roman"/>
          <w:sz w:val="24"/>
          <w:szCs w:val="24"/>
          <w:lang w:eastAsia="it-IT"/>
        </w:rPr>
        <w:t xml:space="preserve"> Carivit</w:t>
      </w:r>
      <w:r w:rsidRPr="005C7A77">
        <w:rPr>
          <w:rFonts w:ascii="Times New Roman" w:eastAsia="Times New Roman" w:hAnsi="Times New Roman" w:cs="Times New Roman"/>
          <w:sz w:val="24"/>
          <w:szCs w:val="24"/>
          <w:lang w:eastAsia="it-IT"/>
        </w:rPr>
        <w:t xml:space="preserve">, quale fondazione di origine bancaria ai sensi del Decreto Legislativo n. 153 del 17 maggio 1999, costituisce persona giuridica a tutti gli effetti privata (come </w:t>
      </w:r>
      <w:proofErr w:type="spellStart"/>
      <w:r w:rsidRPr="005C7A77">
        <w:rPr>
          <w:rFonts w:ascii="Times New Roman" w:eastAsia="Times New Roman" w:hAnsi="Times New Roman" w:cs="Times New Roman"/>
          <w:sz w:val="24"/>
          <w:szCs w:val="24"/>
          <w:lang w:eastAsia="it-IT"/>
        </w:rPr>
        <w:t>acclarato</w:t>
      </w:r>
      <w:proofErr w:type="spellEnd"/>
      <w:r w:rsidRPr="005C7A77">
        <w:rPr>
          <w:rFonts w:ascii="Times New Roman" w:eastAsia="Times New Roman" w:hAnsi="Times New Roman" w:cs="Times New Roman"/>
          <w:sz w:val="24"/>
          <w:szCs w:val="24"/>
          <w:lang w:eastAsia="it-IT"/>
        </w:rPr>
        <w:t xml:space="preserve"> dalla Corte Costituzionale con le note sentenze numero 300 e 301 del settembre 2003) e non è pertanto tenuta all’applicazione delle norme del “Codice dei contratti pubblici” (Decreti Legislativi n. 163 del 12 aprile 2006 e n. 50 del 19 aprile 2016), come espressamente previsto dall’articolo 10-ter del Decreto legge n. 162 del 23 ottobre 2008, convertito nella Legge n. 201 del 22 dicembre 2008.</w:t>
      </w:r>
    </w:p>
    <w:p w:rsidR="007D2E44" w:rsidRDefault="005C7A77" w:rsidP="000D6321">
      <w:pPr>
        <w:spacing w:after="195" w:line="240" w:lineRule="auto"/>
        <w:rPr>
          <w:rFonts w:ascii="Times New Roman" w:eastAsia="Times New Roman" w:hAnsi="Times New Roman" w:cs="Times New Roman"/>
          <w:sz w:val="24"/>
          <w:szCs w:val="24"/>
          <w:lang w:eastAsia="it-IT"/>
        </w:rPr>
      </w:pPr>
      <w:r w:rsidRPr="005C7A77">
        <w:rPr>
          <w:rFonts w:ascii="Times New Roman" w:eastAsia="Times New Roman" w:hAnsi="Times New Roman" w:cs="Times New Roman"/>
          <w:sz w:val="24"/>
          <w:szCs w:val="24"/>
          <w:lang w:eastAsia="it-IT"/>
        </w:rPr>
        <w:t>La Fondazione in applicazion</w:t>
      </w:r>
      <w:r>
        <w:rPr>
          <w:rFonts w:ascii="Times New Roman" w:eastAsia="Times New Roman" w:hAnsi="Times New Roman" w:cs="Times New Roman"/>
          <w:sz w:val="24"/>
          <w:szCs w:val="24"/>
          <w:lang w:eastAsia="it-IT"/>
        </w:rPr>
        <w:t xml:space="preserve">e delle disposizioni contenute  all’art. 11 comma 2 </w:t>
      </w:r>
      <w:r w:rsidRPr="005C7A77">
        <w:rPr>
          <w:rFonts w:ascii="Times New Roman" w:eastAsia="Times New Roman" w:hAnsi="Times New Roman" w:cs="Times New Roman"/>
          <w:sz w:val="24"/>
          <w:szCs w:val="24"/>
          <w:lang w:eastAsia="it-IT"/>
        </w:rPr>
        <w:t xml:space="preserve"> del Protocollo d’intesa sottoscritto in data 22 aprile 2015 tra il Ministero dell’Economi</w:t>
      </w:r>
      <w:r>
        <w:rPr>
          <w:rFonts w:ascii="Times New Roman" w:eastAsia="Times New Roman" w:hAnsi="Times New Roman" w:cs="Times New Roman"/>
          <w:sz w:val="24"/>
          <w:szCs w:val="24"/>
          <w:lang w:eastAsia="it-IT"/>
        </w:rPr>
        <w:t xml:space="preserve">a e delle Finanze e l’ACRI, rende pubbliche le informazioni concernenti gli appalti </w:t>
      </w:r>
      <w:r w:rsidR="007D2E44">
        <w:rPr>
          <w:rFonts w:ascii="Times New Roman" w:eastAsia="Times New Roman" w:hAnsi="Times New Roman" w:cs="Times New Roman"/>
          <w:sz w:val="24"/>
          <w:szCs w:val="24"/>
          <w:lang w:eastAsia="it-IT"/>
        </w:rPr>
        <w:t>affidati di importo superiore a € 50.000,00</w:t>
      </w:r>
      <w:r w:rsidR="005B7493">
        <w:rPr>
          <w:rFonts w:ascii="Times New Roman" w:eastAsia="Times New Roman" w:hAnsi="Times New Roman" w:cs="Times New Roman"/>
          <w:sz w:val="24"/>
          <w:szCs w:val="24"/>
          <w:lang w:eastAsia="it-IT"/>
        </w:rPr>
        <w:t>.</w:t>
      </w:r>
    </w:p>
    <w:p w:rsidR="005B7493" w:rsidRDefault="00BB7B01" w:rsidP="000D6321">
      <w:pPr>
        <w:spacing w:after="195"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informazioni  che seguono sono pubblicate sul sito internet con permanenza per almeno un anno dalla data di aggiudicazione. Le stesse   sono altresì  rese pubbliche  in apposita sezione del bilancio annuale per quanto concerne quelle sostenute nel corso dell’esercizio </w:t>
      </w:r>
    </w:p>
    <w:p w:rsidR="000D6321" w:rsidRDefault="000D6321" w:rsidP="000D6321">
      <w:pPr>
        <w:spacing w:after="195" w:line="240" w:lineRule="auto"/>
        <w:rPr>
          <w:rFonts w:ascii="Times New Roman" w:eastAsia="Times New Roman" w:hAnsi="Times New Roman" w:cs="Times New Roman"/>
          <w:sz w:val="24"/>
          <w:szCs w:val="24"/>
          <w:lang w:eastAsia="it-IT"/>
        </w:rPr>
      </w:pPr>
    </w:p>
    <w:tbl>
      <w:tblPr>
        <w:tblStyle w:val="Grigliatabella"/>
        <w:tblW w:w="0" w:type="auto"/>
        <w:tblLook w:val="04A0"/>
      </w:tblPr>
      <w:tblGrid>
        <w:gridCol w:w="2444"/>
        <w:gridCol w:w="2444"/>
        <w:gridCol w:w="2445"/>
        <w:gridCol w:w="2445"/>
      </w:tblGrid>
      <w:tr w:rsidR="005B7493" w:rsidRPr="005B7493" w:rsidTr="005B7493">
        <w:tc>
          <w:tcPr>
            <w:tcW w:w="2444" w:type="dxa"/>
          </w:tcPr>
          <w:p w:rsidR="005B7493" w:rsidRPr="005B7493" w:rsidRDefault="005B7493" w:rsidP="005B7493">
            <w:pPr>
              <w:jc w:val="center"/>
              <w:rPr>
                <w:rFonts w:ascii="Times New Roman" w:hAnsi="Times New Roman" w:cs="Times New Roman"/>
                <w:sz w:val="20"/>
                <w:szCs w:val="20"/>
              </w:rPr>
            </w:pPr>
            <w:r w:rsidRPr="005B7493">
              <w:rPr>
                <w:rFonts w:ascii="Times New Roman" w:hAnsi="Times New Roman" w:cs="Times New Roman"/>
                <w:sz w:val="20"/>
                <w:szCs w:val="20"/>
              </w:rPr>
              <w:t>FORNITORE</w:t>
            </w:r>
          </w:p>
        </w:tc>
        <w:tc>
          <w:tcPr>
            <w:tcW w:w="2444" w:type="dxa"/>
          </w:tcPr>
          <w:p w:rsidR="005B7493" w:rsidRPr="005B7493" w:rsidRDefault="005B7493" w:rsidP="005B7493">
            <w:pPr>
              <w:jc w:val="center"/>
              <w:rPr>
                <w:rFonts w:ascii="Times New Roman" w:hAnsi="Times New Roman" w:cs="Times New Roman"/>
                <w:sz w:val="20"/>
                <w:szCs w:val="20"/>
              </w:rPr>
            </w:pPr>
            <w:r w:rsidRPr="005B7493">
              <w:rPr>
                <w:rFonts w:ascii="Times New Roman" w:hAnsi="Times New Roman" w:cs="Times New Roman"/>
                <w:sz w:val="20"/>
                <w:szCs w:val="20"/>
              </w:rPr>
              <w:t>SERVIZIO</w:t>
            </w:r>
          </w:p>
        </w:tc>
        <w:tc>
          <w:tcPr>
            <w:tcW w:w="2445" w:type="dxa"/>
          </w:tcPr>
          <w:p w:rsidR="005B7493" w:rsidRPr="005B7493" w:rsidRDefault="005B7493" w:rsidP="005B7493">
            <w:pPr>
              <w:jc w:val="center"/>
              <w:rPr>
                <w:rFonts w:ascii="Times New Roman" w:hAnsi="Times New Roman" w:cs="Times New Roman"/>
                <w:sz w:val="20"/>
                <w:szCs w:val="20"/>
              </w:rPr>
            </w:pPr>
            <w:r w:rsidRPr="005B7493">
              <w:rPr>
                <w:rFonts w:ascii="Times New Roman" w:hAnsi="Times New Roman" w:cs="Times New Roman"/>
                <w:sz w:val="20"/>
                <w:szCs w:val="20"/>
              </w:rPr>
              <w:t>IMPORTO</w:t>
            </w:r>
          </w:p>
        </w:tc>
        <w:tc>
          <w:tcPr>
            <w:tcW w:w="2445" w:type="dxa"/>
          </w:tcPr>
          <w:p w:rsidR="005B7493" w:rsidRPr="005B7493" w:rsidRDefault="005B7493" w:rsidP="005B7493">
            <w:pPr>
              <w:jc w:val="center"/>
              <w:rPr>
                <w:rFonts w:ascii="Times New Roman" w:hAnsi="Times New Roman" w:cs="Times New Roman"/>
                <w:sz w:val="20"/>
                <w:szCs w:val="20"/>
              </w:rPr>
            </w:pPr>
            <w:r w:rsidRPr="005B7493">
              <w:rPr>
                <w:rFonts w:ascii="Times New Roman" w:hAnsi="Times New Roman" w:cs="Times New Roman"/>
                <w:sz w:val="20"/>
                <w:szCs w:val="20"/>
              </w:rPr>
              <w:t>DURATA</w:t>
            </w:r>
          </w:p>
        </w:tc>
      </w:tr>
      <w:tr w:rsidR="005B7493" w:rsidTr="005B7493">
        <w:tc>
          <w:tcPr>
            <w:tcW w:w="2444" w:type="dxa"/>
          </w:tcPr>
          <w:p w:rsidR="005B7493" w:rsidRDefault="005B7493">
            <w:pPr>
              <w:rPr>
                <w:rFonts w:ascii="Times New Roman" w:hAnsi="Times New Roman" w:cs="Times New Roman"/>
              </w:rPr>
            </w:pPr>
          </w:p>
        </w:tc>
        <w:tc>
          <w:tcPr>
            <w:tcW w:w="2444" w:type="dxa"/>
          </w:tcPr>
          <w:p w:rsidR="005B7493" w:rsidRDefault="005B7493">
            <w:pPr>
              <w:rPr>
                <w:rFonts w:ascii="Times New Roman" w:hAnsi="Times New Roman" w:cs="Times New Roman"/>
              </w:rPr>
            </w:pPr>
          </w:p>
        </w:tc>
        <w:tc>
          <w:tcPr>
            <w:tcW w:w="2445" w:type="dxa"/>
          </w:tcPr>
          <w:p w:rsidR="005B7493" w:rsidRDefault="005B7493">
            <w:pPr>
              <w:rPr>
                <w:rFonts w:ascii="Times New Roman" w:hAnsi="Times New Roman" w:cs="Times New Roman"/>
              </w:rPr>
            </w:pPr>
          </w:p>
        </w:tc>
        <w:tc>
          <w:tcPr>
            <w:tcW w:w="2445" w:type="dxa"/>
          </w:tcPr>
          <w:p w:rsidR="005B7493" w:rsidRDefault="005B7493">
            <w:pPr>
              <w:rPr>
                <w:rFonts w:ascii="Times New Roman" w:hAnsi="Times New Roman" w:cs="Times New Roman"/>
              </w:rPr>
            </w:pPr>
          </w:p>
        </w:tc>
      </w:tr>
    </w:tbl>
    <w:p w:rsidR="005C7A77" w:rsidRPr="005C7A77" w:rsidRDefault="005C7A77">
      <w:pPr>
        <w:rPr>
          <w:rFonts w:ascii="Times New Roman" w:hAnsi="Times New Roman" w:cs="Times New Roman"/>
        </w:rPr>
      </w:pPr>
    </w:p>
    <w:sectPr w:rsidR="005C7A77" w:rsidRPr="005C7A77" w:rsidSect="003F46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06DD0"/>
    <w:multiLevelType w:val="multilevel"/>
    <w:tmpl w:val="1DC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74400"/>
    <w:multiLevelType w:val="multilevel"/>
    <w:tmpl w:val="0DE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283"/>
  <w:characterSpacingControl w:val="doNotCompress"/>
  <w:compat/>
  <w:rsids>
    <w:rsidRoot w:val="005C7A77"/>
    <w:rsid w:val="000D6321"/>
    <w:rsid w:val="003F4698"/>
    <w:rsid w:val="005B7493"/>
    <w:rsid w:val="005C7A77"/>
    <w:rsid w:val="007D2E44"/>
    <w:rsid w:val="007E1662"/>
    <w:rsid w:val="00BB7B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698"/>
  </w:style>
  <w:style w:type="paragraph" w:styleId="Titolo1">
    <w:name w:val="heading 1"/>
    <w:basedOn w:val="Normale"/>
    <w:link w:val="Titolo1Carattere"/>
    <w:uiPriority w:val="9"/>
    <w:qFormat/>
    <w:rsid w:val="005C7A77"/>
    <w:pPr>
      <w:spacing w:after="375" w:line="1020" w:lineRule="atLeast"/>
      <w:jc w:val="left"/>
      <w:outlineLvl w:val="0"/>
    </w:pPr>
    <w:rPr>
      <w:rFonts w:ascii="Roboto" w:eastAsia="Times New Roman" w:hAnsi="Roboto" w:cs="Times New Roman"/>
      <w:color w:val="777777"/>
      <w:kern w:val="36"/>
      <w:sz w:val="90"/>
      <w:szCs w:val="9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C7A77"/>
    <w:rPr>
      <w:rFonts w:ascii="Roboto" w:eastAsia="Times New Roman" w:hAnsi="Roboto" w:cs="Times New Roman"/>
      <w:color w:val="777777"/>
      <w:kern w:val="36"/>
      <w:sz w:val="90"/>
      <w:szCs w:val="90"/>
      <w:lang w:eastAsia="it-IT"/>
    </w:rPr>
  </w:style>
  <w:style w:type="paragraph" w:styleId="NormaleWeb">
    <w:name w:val="Normal (Web)"/>
    <w:basedOn w:val="Normale"/>
    <w:uiPriority w:val="99"/>
    <w:semiHidden/>
    <w:unhideWhenUsed/>
    <w:rsid w:val="005C7A77"/>
    <w:pPr>
      <w:spacing w:after="195" w:line="240" w:lineRule="auto"/>
      <w:jc w:val="left"/>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5B749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7362680">
      <w:bodyDiv w:val="1"/>
      <w:marLeft w:val="0"/>
      <w:marRight w:val="0"/>
      <w:marTop w:val="0"/>
      <w:marBottom w:val="0"/>
      <w:divBdr>
        <w:top w:val="none" w:sz="0" w:space="0" w:color="auto"/>
        <w:left w:val="none" w:sz="0" w:space="0" w:color="auto"/>
        <w:bottom w:val="none" w:sz="0" w:space="0" w:color="auto"/>
        <w:right w:val="none" w:sz="0" w:space="0" w:color="auto"/>
      </w:divBdr>
      <w:divsChild>
        <w:div w:id="2095126764">
          <w:marLeft w:val="0"/>
          <w:marRight w:val="0"/>
          <w:marTop w:val="0"/>
          <w:marBottom w:val="0"/>
          <w:divBdr>
            <w:top w:val="none" w:sz="0" w:space="0" w:color="auto"/>
            <w:left w:val="none" w:sz="0" w:space="0" w:color="auto"/>
            <w:bottom w:val="none" w:sz="0" w:space="0" w:color="auto"/>
            <w:right w:val="none" w:sz="0" w:space="0" w:color="auto"/>
          </w:divBdr>
          <w:divsChild>
            <w:div w:id="1183737623">
              <w:marLeft w:val="0"/>
              <w:marRight w:val="0"/>
              <w:marTop w:val="0"/>
              <w:marBottom w:val="0"/>
              <w:divBdr>
                <w:top w:val="none" w:sz="0" w:space="0" w:color="auto"/>
                <w:left w:val="none" w:sz="0" w:space="0" w:color="auto"/>
                <w:bottom w:val="none" w:sz="0" w:space="0" w:color="auto"/>
                <w:right w:val="none" w:sz="0" w:space="0" w:color="auto"/>
              </w:divBdr>
              <w:divsChild>
                <w:div w:id="826752583">
                  <w:marLeft w:val="0"/>
                  <w:marRight w:val="0"/>
                  <w:marTop w:val="0"/>
                  <w:marBottom w:val="0"/>
                  <w:divBdr>
                    <w:top w:val="none" w:sz="0" w:space="0" w:color="auto"/>
                    <w:left w:val="none" w:sz="0" w:space="0" w:color="auto"/>
                    <w:bottom w:val="none" w:sz="0" w:space="0" w:color="auto"/>
                    <w:right w:val="none" w:sz="0" w:space="0" w:color="auto"/>
                  </w:divBdr>
                  <w:divsChild>
                    <w:div w:id="182787335">
                      <w:marLeft w:val="0"/>
                      <w:marRight w:val="0"/>
                      <w:marTop w:val="0"/>
                      <w:marBottom w:val="0"/>
                      <w:divBdr>
                        <w:top w:val="none" w:sz="0" w:space="0" w:color="auto"/>
                        <w:left w:val="none" w:sz="0" w:space="0" w:color="auto"/>
                        <w:bottom w:val="none" w:sz="0" w:space="0" w:color="auto"/>
                        <w:right w:val="none" w:sz="0" w:space="0" w:color="auto"/>
                      </w:divBdr>
                      <w:divsChild>
                        <w:div w:id="1513572084">
                          <w:marLeft w:val="0"/>
                          <w:marRight w:val="0"/>
                          <w:marTop w:val="0"/>
                          <w:marBottom w:val="0"/>
                          <w:divBdr>
                            <w:top w:val="none" w:sz="0" w:space="0" w:color="auto"/>
                            <w:left w:val="none" w:sz="0" w:space="0" w:color="auto"/>
                            <w:bottom w:val="none" w:sz="0" w:space="0" w:color="auto"/>
                            <w:right w:val="none" w:sz="0" w:space="0" w:color="auto"/>
                          </w:divBdr>
                          <w:divsChild>
                            <w:div w:id="4275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183</Words>
  <Characters>1046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cp:revision>
  <dcterms:created xsi:type="dcterms:W3CDTF">2018-02-16T07:22:00Z</dcterms:created>
  <dcterms:modified xsi:type="dcterms:W3CDTF">2018-02-16T08:35:00Z</dcterms:modified>
</cp:coreProperties>
</file>