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03" w:rsidRPr="00A014B9" w:rsidRDefault="002F5A03" w:rsidP="00566900">
      <w:pPr>
        <w:pStyle w:val="Rientrocorpodeltesto"/>
        <w:spacing w:line="240" w:lineRule="auto"/>
        <w:ind w:left="0" w:firstLine="0"/>
        <w:rPr>
          <w:rFonts w:asciiTheme="minorHAnsi" w:hAnsiTheme="minorHAnsi"/>
          <w:bCs/>
          <w:sz w:val="28"/>
          <w:szCs w:val="28"/>
        </w:rPr>
      </w:pPr>
    </w:p>
    <w:p w:rsidR="006B4491" w:rsidRPr="00A014B9" w:rsidRDefault="006B4491" w:rsidP="00566900">
      <w:pPr>
        <w:pStyle w:val="Rientrocorpodeltesto"/>
        <w:spacing w:line="240" w:lineRule="auto"/>
        <w:ind w:left="0" w:firstLine="0"/>
        <w:rPr>
          <w:rFonts w:asciiTheme="minorHAnsi" w:hAnsiTheme="minorHAnsi"/>
          <w:bCs/>
          <w:sz w:val="28"/>
          <w:szCs w:val="28"/>
        </w:rPr>
      </w:pPr>
    </w:p>
    <w:p w:rsidR="007771B9" w:rsidRPr="00A014B9" w:rsidRDefault="007771B9" w:rsidP="00566900">
      <w:pPr>
        <w:pStyle w:val="Rientrocorpodeltesto"/>
        <w:spacing w:line="240" w:lineRule="auto"/>
        <w:ind w:left="0" w:firstLine="0"/>
        <w:rPr>
          <w:rFonts w:asciiTheme="minorHAnsi" w:hAnsiTheme="minorHAnsi"/>
          <w:bCs/>
          <w:sz w:val="28"/>
          <w:szCs w:val="28"/>
        </w:rPr>
      </w:pPr>
    </w:p>
    <w:p w:rsidR="001A7940" w:rsidRPr="00A014B9" w:rsidRDefault="001A7940" w:rsidP="00566900">
      <w:pPr>
        <w:pStyle w:val="Rientrocorpodeltesto"/>
        <w:spacing w:line="240" w:lineRule="auto"/>
        <w:ind w:left="0" w:firstLine="0"/>
        <w:rPr>
          <w:rFonts w:asciiTheme="minorHAnsi" w:hAnsiTheme="minorHAnsi"/>
          <w:bCs/>
          <w:sz w:val="28"/>
          <w:szCs w:val="28"/>
        </w:rPr>
      </w:pPr>
    </w:p>
    <w:p w:rsidR="002F5A03" w:rsidRPr="00A014B9" w:rsidRDefault="002F5A03" w:rsidP="00566900">
      <w:pPr>
        <w:pStyle w:val="Rientrocorpodeltesto"/>
        <w:spacing w:line="240" w:lineRule="auto"/>
        <w:ind w:left="0" w:firstLine="0"/>
        <w:rPr>
          <w:rFonts w:asciiTheme="minorHAnsi" w:hAnsiTheme="minorHAnsi"/>
          <w:bCs/>
          <w:sz w:val="28"/>
          <w:szCs w:val="28"/>
        </w:rPr>
      </w:pPr>
    </w:p>
    <w:p w:rsidR="002F5A03" w:rsidRPr="00A014B9" w:rsidRDefault="002F5A03" w:rsidP="00566900">
      <w:pPr>
        <w:pStyle w:val="Rientrocorpodeltesto"/>
        <w:spacing w:line="240" w:lineRule="auto"/>
        <w:ind w:left="0" w:firstLine="0"/>
        <w:rPr>
          <w:rFonts w:asciiTheme="minorHAnsi" w:hAnsiTheme="minorHAnsi"/>
          <w:bCs/>
          <w:sz w:val="28"/>
          <w:szCs w:val="28"/>
        </w:rPr>
      </w:pPr>
    </w:p>
    <w:p w:rsidR="005B057B" w:rsidRPr="00F64486" w:rsidRDefault="005B057B" w:rsidP="005B057B">
      <w:pPr>
        <w:pStyle w:val="Corpodeltesto22"/>
        <w:spacing w:line="240" w:lineRule="auto"/>
        <w:jc w:val="center"/>
        <w:rPr>
          <w:rFonts w:ascii="Times New Roman" w:hAnsi="Times New Roman"/>
          <w:b/>
          <w:sz w:val="32"/>
          <w:szCs w:val="32"/>
        </w:rPr>
      </w:pPr>
      <w:r w:rsidRPr="00F64486">
        <w:rPr>
          <w:rFonts w:ascii="Times New Roman" w:hAnsi="Times New Roman"/>
          <w:b/>
          <w:sz w:val="32"/>
          <w:szCs w:val="32"/>
        </w:rPr>
        <w:t>FONDAZIONE CARIVIT</w:t>
      </w:r>
    </w:p>
    <w:p w:rsidR="002F5A03" w:rsidRPr="00F64486" w:rsidRDefault="002F5A03" w:rsidP="00566900">
      <w:pPr>
        <w:pStyle w:val="Rientrocorpodeltesto"/>
        <w:spacing w:line="240" w:lineRule="auto"/>
        <w:ind w:left="0" w:firstLine="0"/>
        <w:rPr>
          <w:rFonts w:asciiTheme="minorHAnsi" w:hAnsiTheme="minorHAnsi"/>
          <w:b/>
          <w:bCs/>
          <w:sz w:val="28"/>
          <w:szCs w:val="28"/>
        </w:rPr>
      </w:pPr>
    </w:p>
    <w:p w:rsidR="002F5A03" w:rsidRPr="00F64486" w:rsidRDefault="002F5A03" w:rsidP="00566900">
      <w:pPr>
        <w:pStyle w:val="Rientrocorpodeltesto"/>
        <w:spacing w:line="240" w:lineRule="auto"/>
        <w:ind w:left="0" w:firstLine="0"/>
        <w:rPr>
          <w:rFonts w:asciiTheme="minorHAnsi" w:hAnsiTheme="minorHAnsi"/>
          <w:b/>
          <w:bCs/>
          <w:sz w:val="28"/>
          <w:szCs w:val="28"/>
        </w:rPr>
      </w:pPr>
    </w:p>
    <w:p w:rsidR="002F5A03" w:rsidRPr="00F64486" w:rsidRDefault="002F5A03" w:rsidP="00566900">
      <w:pPr>
        <w:pStyle w:val="Rientrocorpodeltesto"/>
        <w:spacing w:line="240" w:lineRule="auto"/>
        <w:ind w:left="0" w:firstLine="0"/>
        <w:rPr>
          <w:b/>
          <w:bCs/>
          <w:sz w:val="36"/>
          <w:szCs w:val="36"/>
        </w:rPr>
      </w:pPr>
    </w:p>
    <w:p w:rsidR="002F5A03" w:rsidRPr="00F64486" w:rsidRDefault="002F5A03" w:rsidP="00566900">
      <w:pPr>
        <w:pStyle w:val="Rientrocorpodeltesto"/>
        <w:spacing w:line="240" w:lineRule="auto"/>
        <w:ind w:left="0" w:firstLine="0"/>
        <w:rPr>
          <w:b/>
          <w:bCs/>
          <w:sz w:val="36"/>
          <w:szCs w:val="36"/>
        </w:rPr>
      </w:pPr>
    </w:p>
    <w:p w:rsidR="00036830" w:rsidRPr="00F64486" w:rsidRDefault="00036830" w:rsidP="00566900">
      <w:pPr>
        <w:pStyle w:val="Rientrocorpodeltesto"/>
        <w:spacing w:line="240" w:lineRule="auto"/>
        <w:ind w:left="0" w:firstLine="0"/>
        <w:rPr>
          <w:b/>
          <w:bCs/>
          <w:sz w:val="36"/>
          <w:szCs w:val="36"/>
        </w:rPr>
      </w:pPr>
    </w:p>
    <w:p w:rsidR="00036830" w:rsidRPr="00F64486" w:rsidRDefault="00036830" w:rsidP="00566900">
      <w:pPr>
        <w:pStyle w:val="Rientrocorpodeltesto"/>
        <w:spacing w:line="240" w:lineRule="auto"/>
        <w:ind w:left="0" w:firstLine="0"/>
        <w:rPr>
          <w:b/>
          <w:bCs/>
          <w:sz w:val="36"/>
          <w:szCs w:val="36"/>
        </w:rPr>
      </w:pPr>
    </w:p>
    <w:p w:rsidR="002F5A03" w:rsidRPr="00F64486" w:rsidRDefault="002F5A03" w:rsidP="00566900">
      <w:pPr>
        <w:pStyle w:val="Rientrocorpodeltesto"/>
        <w:spacing w:line="240" w:lineRule="auto"/>
        <w:ind w:left="0" w:firstLine="0"/>
        <w:rPr>
          <w:b/>
          <w:bCs/>
          <w:sz w:val="36"/>
          <w:szCs w:val="36"/>
        </w:rPr>
      </w:pPr>
    </w:p>
    <w:p w:rsidR="008C7DE1" w:rsidRPr="00F64486" w:rsidRDefault="00566900" w:rsidP="008C7DE1">
      <w:pPr>
        <w:pStyle w:val="Rientrocorpodeltesto"/>
        <w:spacing w:line="240" w:lineRule="auto"/>
        <w:ind w:left="0" w:firstLine="0"/>
        <w:rPr>
          <w:b/>
          <w:bCs/>
          <w:sz w:val="28"/>
          <w:szCs w:val="28"/>
        </w:rPr>
      </w:pPr>
      <w:r w:rsidRPr="00F64486">
        <w:rPr>
          <w:b/>
          <w:bCs/>
          <w:sz w:val="28"/>
          <w:szCs w:val="28"/>
        </w:rPr>
        <w:t xml:space="preserve">NOTA DI AGGIORNAMENTO AL  </w:t>
      </w:r>
    </w:p>
    <w:p w:rsidR="00566900" w:rsidRPr="00F64486" w:rsidRDefault="00566900" w:rsidP="008C7DE1">
      <w:pPr>
        <w:pStyle w:val="Rientrocorpodeltesto"/>
        <w:spacing w:line="240" w:lineRule="auto"/>
        <w:ind w:left="0" w:firstLine="0"/>
        <w:rPr>
          <w:b/>
          <w:bCs/>
          <w:sz w:val="28"/>
          <w:szCs w:val="28"/>
        </w:rPr>
      </w:pPr>
      <w:r w:rsidRPr="00F64486">
        <w:rPr>
          <w:b/>
          <w:bCs/>
          <w:sz w:val="28"/>
          <w:szCs w:val="28"/>
        </w:rPr>
        <w:t xml:space="preserve">PIANO </w:t>
      </w:r>
      <w:proofErr w:type="gramStart"/>
      <w:r w:rsidRPr="00F64486">
        <w:rPr>
          <w:b/>
          <w:bCs/>
          <w:sz w:val="28"/>
          <w:szCs w:val="28"/>
        </w:rPr>
        <w:t xml:space="preserve">DI </w:t>
      </w:r>
      <w:r w:rsidR="00715DD7" w:rsidRPr="00F64486">
        <w:rPr>
          <w:b/>
          <w:bCs/>
          <w:sz w:val="28"/>
          <w:szCs w:val="28"/>
        </w:rPr>
        <w:t xml:space="preserve"> PROGRAMMAZIONE</w:t>
      </w:r>
      <w:proofErr w:type="gramEnd"/>
      <w:r w:rsidR="00715DD7" w:rsidRPr="00F64486">
        <w:rPr>
          <w:b/>
          <w:bCs/>
          <w:sz w:val="28"/>
          <w:szCs w:val="28"/>
        </w:rPr>
        <w:t xml:space="preserve"> PLURIENNALE 2019-2021</w:t>
      </w:r>
    </w:p>
    <w:p w:rsidR="002F5A03" w:rsidRPr="00F64486" w:rsidRDefault="002F5A03" w:rsidP="00566900">
      <w:pPr>
        <w:pStyle w:val="Rientrocorpodeltesto"/>
        <w:spacing w:line="240" w:lineRule="auto"/>
        <w:ind w:left="0" w:firstLine="0"/>
        <w:rPr>
          <w:b/>
          <w:bCs/>
          <w:sz w:val="28"/>
          <w:szCs w:val="28"/>
        </w:rPr>
      </w:pPr>
    </w:p>
    <w:p w:rsidR="002F5A03" w:rsidRPr="00F64486" w:rsidRDefault="002F5A03" w:rsidP="00566900">
      <w:pPr>
        <w:pStyle w:val="Rientrocorpodeltesto"/>
        <w:spacing w:line="240" w:lineRule="auto"/>
        <w:ind w:left="0" w:firstLine="0"/>
        <w:rPr>
          <w:b/>
          <w:bCs/>
          <w:sz w:val="28"/>
          <w:szCs w:val="28"/>
        </w:rPr>
      </w:pPr>
    </w:p>
    <w:p w:rsidR="00E36136" w:rsidRPr="00A014B9" w:rsidRDefault="00E36136" w:rsidP="00566900">
      <w:pPr>
        <w:pStyle w:val="Rientrocorpodeltesto"/>
        <w:spacing w:line="240" w:lineRule="auto"/>
        <w:ind w:left="0" w:firstLine="0"/>
        <w:rPr>
          <w:bCs/>
          <w:sz w:val="36"/>
          <w:szCs w:val="36"/>
        </w:rPr>
      </w:pPr>
    </w:p>
    <w:p w:rsidR="00E36136" w:rsidRPr="00A014B9" w:rsidRDefault="00E36136" w:rsidP="00566900">
      <w:pPr>
        <w:pStyle w:val="Rientrocorpodeltesto"/>
        <w:spacing w:line="240" w:lineRule="auto"/>
        <w:ind w:left="0" w:firstLine="0"/>
        <w:rPr>
          <w:bCs/>
          <w:sz w:val="28"/>
          <w:szCs w:val="28"/>
        </w:rPr>
      </w:pPr>
    </w:p>
    <w:p w:rsidR="00036830" w:rsidRPr="00A014B9" w:rsidRDefault="00036830" w:rsidP="00566900">
      <w:pPr>
        <w:pStyle w:val="Rientrocorpodeltesto"/>
        <w:spacing w:line="240" w:lineRule="auto"/>
        <w:ind w:left="0" w:firstLine="0"/>
        <w:rPr>
          <w:bCs/>
          <w:sz w:val="28"/>
          <w:szCs w:val="28"/>
        </w:rPr>
      </w:pPr>
    </w:p>
    <w:p w:rsidR="00036830" w:rsidRPr="00A014B9" w:rsidRDefault="00036830" w:rsidP="00566900">
      <w:pPr>
        <w:pStyle w:val="Rientrocorpodeltesto"/>
        <w:spacing w:line="240" w:lineRule="auto"/>
        <w:ind w:left="0" w:firstLine="0"/>
        <w:rPr>
          <w:bCs/>
          <w:sz w:val="28"/>
          <w:szCs w:val="28"/>
        </w:rPr>
      </w:pPr>
    </w:p>
    <w:p w:rsidR="00036830" w:rsidRPr="00A014B9" w:rsidRDefault="00036830" w:rsidP="00566900">
      <w:pPr>
        <w:pStyle w:val="Rientrocorpodeltesto"/>
        <w:spacing w:line="240" w:lineRule="auto"/>
        <w:ind w:left="0" w:firstLine="0"/>
        <w:rPr>
          <w:bCs/>
          <w:sz w:val="28"/>
          <w:szCs w:val="28"/>
        </w:rPr>
      </w:pPr>
    </w:p>
    <w:p w:rsidR="00036830" w:rsidRPr="00A014B9" w:rsidRDefault="00036830" w:rsidP="00566900">
      <w:pPr>
        <w:pStyle w:val="Rientrocorpodeltesto"/>
        <w:spacing w:line="240" w:lineRule="auto"/>
        <w:ind w:left="0" w:firstLine="0"/>
        <w:rPr>
          <w:bCs/>
          <w:sz w:val="28"/>
          <w:szCs w:val="28"/>
        </w:rPr>
      </w:pPr>
    </w:p>
    <w:p w:rsidR="00036830" w:rsidRPr="00A014B9" w:rsidRDefault="00036830" w:rsidP="00566900">
      <w:pPr>
        <w:pStyle w:val="Rientrocorpodeltesto"/>
        <w:spacing w:line="240" w:lineRule="auto"/>
        <w:ind w:left="0" w:firstLine="0"/>
        <w:rPr>
          <w:bCs/>
          <w:sz w:val="28"/>
          <w:szCs w:val="28"/>
        </w:rPr>
      </w:pPr>
    </w:p>
    <w:p w:rsidR="00036830" w:rsidRPr="00A014B9" w:rsidRDefault="00036830" w:rsidP="00566900">
      <w:pPr>
        <w:pStyle w:val="Rientrocorpodeltesto"/>
        <w:spacing w:line="240" w:lineRule="auto"/>
        <w:ind w:left="0" w:firstLine="0"/>
        <w:rPr>
          <w:bCs/>
          <w:sz w:val="28"/>
          <w:szCs w:val="28"/>
        </w:rPr>
      </w:pPr>
    </w:p>
    <w:p w:rsidR="00036830" w:rsidRPr="00A014B9" w:rsidRDefault="00036830" w:rsidP="00566900">
      <w:pPr>
        <w:pStyle w:val="Rientrocorpodeltesto"/>
        <w:spacing w:line="240" w:lineRule="auto"/>
        <w:ind w:left="0" w:firstLine="0"/>
        <w:rPr>
          <w:bCs/>
          <w:sz w:val="28"/>
          <w:szCs w:val="28"/>
        </w:rPr>
      </w:pPr>
    </w:p>
    <w:p w:rsidR="00AA20F7" w:rsidRPr="00F64486" w:rsidRDefault="00921D47" w:rsidP="00324F79">
      <w:pPr>
        <w:pStyle w:val="Rientrocorpodeltesto"/>
        <w:spacing w:line="240" w:lineRule="auto"/>
        <w:ind w:left="0" w:firstLine="0"/>
        <w:rPr>
          <w:b/>
          <w:bCs/>
          <w:szCs w:val="24"/>
        </w:rPr>
      </w:pPr>
      <w:r w:rsidRPr="00F64486">
        <w:rPr>
          <w:b/>
          <w:bCs/>
          <w:szCs w:val="24"/>
        </w:rPr>
        <w:t xml:space="preserve">Approvata </w:t>
      </w:r>
      <w:r w:rsidR="00F82F14" w:rsidRPr="00F64486">
        <w:rPr>
          <w:b/>
          <w:bCs/>
          <w:szCs w:val="24"/>
        </w:rPr>
        <w:t xml:space="preserve">dal Consiglio di </w:t>
      </w:r>
      <w:proofErr w:type="gramStart"/>
      <w:r w:rsidR="00F82F14" w:rsidRPr="00F64486">
        <w:rPr>
          <w:b/>
          <w:bCs/>
          <w:szCs w:val="24"/>
        </w:rPr>
        <w:t xml:space="preserve">Indirizzo </w:t>
      </w:r>
      <w:r w:rsidRPr="00F64486">
        <w:rPr>
          <w:b/>
          <w:bCs/>
          <w:szCs w:val="24"/>
        </w:rPr>
        <w:t xml:space="preserve"> nella</w:t>
      </w:r>
      <w:proofErr w:type="gramEnd"/>
      <w:r w:rsidRPr="00F64486">
        <w:rPr>
          <w:b/>
          <w:bCs/>
          <w:szCs w:val="24"/>
        </w:rPr>
        <w:t xml:space="preserve"> riunione </w:t>
      </w:r>
      <w:r w:rsidR="00F82F14" w:rsidRPr="00F64486">
        <w:rPr>
          <w:b/>
          <w:bCs/>
          <w:szCs w:val="24"/>
        </w:rPr>
        <w:t>del 2</w:t>
      </w:r>
      <w:r w:rsidR="00F64486">
        <w:rPr>
          <w:b/>
          <w:bCs/>
          <w:szCs w:val="24"/>
        </w:rPr>
        <w:t>6</w:t>
      </w:r>
      <w:r w:rsidR="00F82F14" w:rsidRPr="00F64486">
        <w:rPr>
          <w:b/>
          <w:bCs/>
          <w:szCs w:val="24"/>
        </w:rPr>
        <w:t xml:space="preserve"> ottobre</w:t>
      </w:r>
      <w:r w:rsidRPr="00F64486">
        <w:rPr>
          <w:b/>
          <w:bCs/>
          <w:szCs w:val="24"/>
        </w:rPr>
        <w:t xml:space="preserve"> 2020</w:t>
      </w:r>
    </w:p>
    <w:p w:rsidR="00E36136" w:rsidRPr="00A014B9" w:rsidRDefault="00E36136" w:rsidP="00566900">
      <w:pPr>
        <w:pStyle w:val="Rientrocorpodeltesto"/>
        <w:spacing w:line="240" w:lineRule="auto"/>
        <w:ind w:left="0" w:firstLine="0"/>
        <w:rPr>
          <w:bCs/>
          <w:szCs w:val="24"/>
        </w:rPr>
      </w:pPr>
    </w:p>
    <w:p w:rsidR="002F5A03" w:rsidRPr="00A014B9" w:rsidRDefault="002F5A03" w:rsidP="00566900">
      <w:pPr>
        <w:pStyle w:val="Rientrocorpodeltesto"/>
        <w:spacing w:line="240" w:lineRule="auto"/>
        <w:ind w:left="0" w:firstLine="0"/>
        <w:rPr>
          <w:bCs/>
          <w:sz w:val="36"/>
          <w:szCs w:val="36"/>
        </w:rPr>
      </w:pPr>
    </w:p>
    <w:p w:rsidR="002F5A03" w:rsidRPr="00A014B9" w:rsidRDefault="002F5A03" w:rsidP="00566900">
      <w:pPr>
        <w:pStyle w:val="Rientrocorpodeltesto"/>
        <w:spacing w:line="240" w:lineRule="auto"/>
        <w:ind w:left="0" w:firstLine="0"/>
        <w:rPr>
          <w:bCs/>
          <w:sz w:val="36"/>
          <w:szCs w:val="36"/>
        </w:rPr>
      </w:pPr>
    </w:p>
    <w:p w:rsidR="00DC1AD6" w:rsidRPr="00A014B9" w:rsidRDefault="00DC1AD6" w:rsidP="00566900">
      <w:pPr>
        <w:pStyle w:val="Rientrocorpodeltesto"/>
        <w:spacing w:line="240" w:lineRule="auto"/>
        <w:ind w:left="0" w:firstLine="0"/>
        <w:rPr>
          <w:bCs/>
          <w:sz w:val="36"/>
          <w:szCs w:val="36"/>
        </w:rPr>
      </w:pPr>
    </w:p>
    <w:p w:rsidR="00DC1AD6" w:rsidRPr="00A014B9" w:rsidRDefault="00DC1AD6" w:rsidP="00566900">
      <w:pPr>
        <w:pStyle w:val="Rientrocorpodeltesto"/>
        <w:spacing w:line="240" w:lineRule="auto"/>
        <w:ind w:left="0" w:firstLine="0"/>
        <w:rPr>
          <w:bCs/>
          <w:sz w:val="36"/>
          <w:szCs w:val="36"/>
        </w:rPr>
      </w:pPr>
    </w:p>
    <w:p w:rsidR="00DC1AD6" w:rsidRPr="00A014B9" w:rsidRDefault="00DC1AD6" w:rsidP="00566900">
      <w:pPr>
        <w:pStyle w:val="Rientrocorpodeltesto"/>
        <w:spacing w:line="240" w:lineRule="auto"/>
        <w:ind w:left="0" w:firstLine="0"/>
        <w:rPr>
          <w:bCs/>
          <w:sz w:val="36"/>
          <w:szCs w:val="36"/>
        </w:rPr>
      </w:pPr>
    </w:p>
    <w:p w:rsidR="00DC1AD6" w:rsidRPr="00A014B9" w:rsidRDefault="00DC1AD6" w:rsidP="00566900">
      <w:pPr>
        <w:pStyle w:val="Rientrocorpodeltesto"/>
        <w:spacing w:line="240" w:lineRule="auto"/>
        <w:ind w:left="0" w:firstLine="0"/>
        <w:rPr>
          <w:bCs/>
          <w:sz w:val="36"/>
          <w:szCs w:val="36"/>
        </w:rPr>
      </w:pPr>
    </w:p>
    <w:p w:rsidR="00DC1AD6" w:rsidRPr="00A014B9" w:rsidRDefault="00DC1AD6" w:rsidP="00566900">
      <w:pPr>
        <w:pStyle w:val="Rientrocorpodeltesto"/>
        <w:spacing w:line="240" w:lineRule="auto"/>
        <w:ind w:left="0" w:firstLine="0"/>
        <w:rPr>
          <w:bCs/>
          <w:sz w:val="36"/>
          <w:szCs w:val="36"/>
        </w:rPr>
      </w:pPr>
    </w:p>
    <w:p w:rsidR="00DC1AD6" w:rsidRPr="00A014B9" w:rsidRDefault="00DC1AD6" w:rsidP="00566900">
      <w:pPr>
        <w:pStyle w:val="Rientrocorpodeltesto"/>
        <w:spacing w:line="240" w:lineRule="auto"/>
        <w:ind w:left="0" w:firstLine="0"/>
        <w:rPr>
          <w:bCs/>
          <w:sz w:val="36"/>
          <w:szCs w:val="36"/>
        </w:rPr>
      </w:pPr>
    </w:p>
    <w:p w:rsidR="00DC1AD6" w:rsidRPr="00A014B9" w:rsidRDefault="00DC1AD6" w:rsidP="00566900">
      <w:pPr>
        <w:pStyle w:val="Rientrocorpodeltesto"/>
        <w:spacing w:line="240" w:lineRule="auto"/>
        <w:ind w:left="0" w:firstLine="0"/>
        <w:rPr>
          <w:bCs/>
          <w:sz w:val="36"/>
          <w:szCs w:val="36"/>
        </w:rPr>
      </w:pPr>
    </w:p>
    <w:p w:rsidR="002F5A03" w:rsidRPr="00A014B9" w:rsidRDefault="002F5A03" w:rsidP="00566900">
      <w:pPr>
        <w:pStyle w:val="Rientrocorpodeltesto"/>
        <w:spacing w:line="240" w:lineRule="auto"/>
        <w:ind w:left="0" w:firstLine="0"/>
        <w:rPr>
          <w:bCs/>
          <w:sz w:val="36"/>
          <w:szCs w:val="36"/>
        </w:rPr>
      </w:pPr>
    </w:p>
    <w:p w:rsidR="00321B06" w:rsidRPr="006F1718" w:rsidRDefault="00566900" w:rsidP="00321B06">
      <w:pPr>
        <w:pStyle w:val="Titolo3"/>
        <w:widowControl w:val="0"/>
        <w:tabs>
          <w:tab w:val="num"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240" w:lineRule="auto"/>
        <w:ind w:left="0"/>
        <w:rPr>
          <w:rFonts w:eastAsia="Times New Roman"/>
          <w:u w:val="single"/>
        </w:rPr>
      </w:pPr>
      <w:r w:rsidRPr="006F1718">
        <w:rPr>
          <w:rFonts w:eastAsia="Times New Roman"/>
          <w:u w:val="single"/>
        </w:rPr>
        <w:t>Premessa</w:t>
      </w:r>
    </w:p>
    <w:p w:rsidR="004D2D56" w:rsidRPr="00A014B9" w:rsidRDefault="00566900" w:rsidP="00EB79E5">
      <w:pPr>
        <w:pStyle w:val="Corpodeltesto22"/>
        <w:tabs>
          <w:tab w:val="clear" w:pos="567"/>
        </w:tabs>
        <w:spacing w:line="240" w:lineRule="auto"/>
        <w:ind w:left="0" w:firstLine="0"/>
        <w:jc w:val="both"/>
        <w:rPr>
          <w:rFonts w:ascii="Times New Roman" w:hAnsi="Times New Roman"/>
        </w:rPr>
      </w:pPr>
      <w:r w:rsidRPr="00A014B9">
        <w:rPr>
          <w:rFonts w:ascii="Times New Roman" w:hAnsi="Times New Roman"/>
        </w:rPr>
        <w:t xml:space="preserve">In </w:t>
      </w:r>
      <w:proofErr w:type="gramStart"/>
      <w:r w:rsidRPr="00A014B9">
        <w:rPr>
          <w:rFonts w:ascii="Times New Roman" w:hAnsi="Times New Roman"/>
        </w:rPr>
        <w:t>ottemperanz</w:t>
      </w:r>
      <w:r w:rsidR="002809B6" w:rsidRPr="00A014B9">
        <w:rPr>
          <w:rFonts w:ascii="Times New Roman" w:hAnsi="Times New Roman"/>
        </w:rPr>
        <w:t>a  a</w:t>
      </w:r>
      <w:proofErr w:type="gramEnd"/>
      <w:r w:rsidR="002809B6" w:rsidRPr="00A014B9">
        <w:rPr>
          <w:rFonts w:ascii="Times New Roman" w:hAnsi="Times New Roman"/>
        </w:rPr>
        <w:t xml:space="preserve"> quanto stabilito all’art. 5</w:t>
      </w:r>
      <w:r w:rsidRPr="00A014B9">
        <w:rPr>
          <w:rFonts w:ascii="Times New Roman" w:hAnsi="Times New Roman"/>
        </w:rPr>
        <w:t xml:space="preserve"> del Regolamento  di erogazione, il Consiglio di Indirizzo provvede all’aggiornamento, su base annuale,   del   Piano di</w:t>
      </w:r>
      <w:r w:rsidR="00D523A1" w:rsidRPr="00A014B9">
        <w:rPr>
          <w:rFonts w:ascii="Times New Roman" w:hAnsi="Times New Roman"/>
        </w:rPr>
        <w:t xml:space="preserve"> Programmazione Pluriennale</w:t>
      </w:r>
      <w:r w:rsidR="003F7BDE" w:rsidRPr="00A014B9">
        <w:rPr>
          <w:rFonts w:ascii="Times New Roman" w:hAnsi="Times New Roman"/>
        </w:rPr>
        <w:t xml:space="preserve">. </w:t>
      </w:r>
    </w:p>
    <w:p w:rsidR="00EB79E5" w:rsidRPr="00A014B9" w:rsidRDefault="007259A5" w:rsidP="00EB79E5">
      <w:pPr>
        <w:pStyle w:val="Corpodeltesto22"/>
        <w:tabs>
          <w:tab w:val="clear" w:pos="567"/>
        </w:tabs>
        <w:spacing w:line="240" w:lineRule="auto"/>
        <w:ind w:left="0" w:firstLine="0"/>
        <w:jc w:val="both"/>
        <w:rPr>
          <w:rFonts w:ascii="Times New Roman" w:hAnsi="Times New Roman"/>
        </w:rPr>
      </w:pPr>
      <w:r w:rsidRPr="00A014B9">
        <w:rPr>
          <w:rFonts w:ascii="Times New Roman" w:hAnsi="Times New Roman"/>
        </w:rPr>
        <w:t>La presente nota di aggiorn</w:t>
      </w:r>
      <w:r w:rsidR="00D910B5" w:rsidRPr="00A014B9">
        <w:rPr>
          <w:rFonts w:ascii="Times New Roman" w:hAnsi="Times New Roman"/>
        </w:rPr>
        <w:t xml:space="preserve">amento riguarda </w:t>
      </w:r>
      <w:r w:rsidR="002C3096" w:rsidRPr="00A014B9">
        <w:rPr>
          <w:rFonts w:ascii="Times New Roman" w:hAnsi="Times New Roman"/>
        </w:rPr>
        <w:t xml:space="preserve">l’anno </w:t>
      </w:r>
      <w:r w:rsidRPr="00A014B9">
        <w:rPr>
          <w:rFonts w:ascii="Times New Roman" w:hAnsi="Times New Roman"/>
        </w:rPr>
        <w:t>2021</w:t>
      </w:r>
      <w:r w:rsidR="002C3096" w:rsidRPr="00A014B9">
        <w:rPr>
          <w:rFonts w:ascii="Times New Roman" w:hAnsi="Times New Roman"/>
        </w:rPr>
        <w:t xml:space="preserve"> ultimo esercizio</w:t>
      </w:r>
      <w:r w:rsidRPr="00A014B9">
        <w:rPr>
          <w:rFonts w:ascii="Times New Roman" w:hAnsi="Times New Roman"/>
        </w:rPr>
        <w:t xml:space="preserve"> d</w:t>
      </w:r>
      <w:r w:rsidR="00F3314C" w:rsidRPr="00A014B9">
        <w:rPr>
          <w:rFonts w:ascii="Times New Roman" w:hAnsi="Times New Roman"/>
        </w:rPr>
        <w:t>e</w:t>
      </w:r>
      <w:r w:rsidRPr="00A014B9">
        <w:rPr>
          <w:rFonts w:ascii="Times New Roman" w:hAnsi="Times New Roman"/>
        </w:rPr>
        <w:t>l</w:t>
      </w:r>
      <w:r w:rsidR="00D523A1" w:rsidRPr="00A014B9">
        <w:rPr>
          <w:rFonts w:ascii="Times New Roman" w:hAnsi="Times New Roman"/>
        </w:rPr>
        <w:t xml:space="preserve"> </w:t>
      </w:r>
      <w:r w:rsidR="004D2D56" w:rsidRPr="00A014B9">
        <w:rPr>
          <w:rFonts w:ascii="Times New Roman" w:hAnsi="Times New Roman"/>
        </w:rPr>
        <w:t xml:space="preserve">Piano di Programmazione Pluriennale </w:t>
      </w:r>
      <w:r w:rsidR="00D910B5" w:rsidRPr="00A014B9">
        <w:rPr>
          <w:rFonts w:ascii="Times New Roman" w:hAnsi="Times New Roman"/>
        </w:rPr>
        <w:t>2019</w:t>
      </w:r>
      <w:r w:rsidR="004E1BCE" w:rsidRPr="00A014B9">
        <w:rPr>
          <w:rFonts w:ascii="Times New Roman" w:hAnsi="Times New Roman"/>
        </w:rPr>
        <w:t>-</w:t>
      </w:r>
      <w:proofErr w:type="gramStart"/>
      <w:r w:rsidR="006443E1" w:rsidRPr="00A014B9">
        <w:rPr>
          <w:rFonts w:ascii="Times New Roman" w:hAnsi="Times New Roman"/>
        </w:rPr>
        <w:t>2021</w:t>
      </w:r>
      <w:r w:rsidR="0017705A" w:rsidRPr="00A014B9">
        <w:rPr>
          <w:rFonts w:ascii="Times New Roman" w:hAnsi="Times New Roman"/>
        </w:rPr>
        <w:t xml:space="preserve"> </w:t>
      </w:r>
      <w:r w:rsidR="00566900" w:rsidRPr="00A014B9">
        <w:rPr>
          <w:rFonts w:ascii="Times New Roman" w:hAnsi="Times New Roman"/>
        </w:rPr>
        <w:t xml:space="preserve"> </w:t>
      </w:r>
      <w:r w:rsidR="003F7BDE" w:rsidRPr="00A014B9">
        <w:rPr>
          <w:rFonts w:ascii="Times New Roman" w:hAnsi="Times New Roman"/>
          <w:szCs w:val="24"/>
        </w:rPr>
        <w:t>approvato</w:t>
      </w:r>
      <w:proofErr w:type="gramEnd"/>
      <w:r w:rsidR="003F7BDE" w:rsidRPr="00A014B9">
        <w:rPr>
          <w:rFonts w:ascii="Times New Roman" w:hAnsi="Times New Roman"/>
          <w:szCs w:val="24"/>
        </w:rPr>
        <w:t xml:space="preserve"> dall’Organo di indirizzo </w:t>
      </w:r>
      <w:r w:rsidR="00EB79E5" w:rsidRPr="00A014B9">
        <w:rPr>
          <w:rFonts w:ascii="Times New Roman" w:hAnsi="Times New Roman"/>
          <w:szCs w:val="24"/>
        </w:rPr>
        <w:t xml:space="preserve"> </w:t>
      </w:r>
      <w:r w:rsidR="006443E1" w:rsidRPr="00A014B9">
        <w:rPr>
          <w:rFonts w:ascii="Times New Roman" w:hAnsi="Times New Roman"/>
          <w:szCs w:val="24"/>
        </w:rPr>
        <w:t>nella seduta del 26 ottobre 2018</w:t>
      </w:r>
      <w:r w:rsidR="00EB79E5" w:rsidRPr="00A014B9">
        <w:rPr>
          <w:rFonts w:ascii="Times New Roman" w:hAnsi="Times New Roman"/>
          <w:szCs w:val="24"/>
        </w:rPr>
        <w:t>.</w:t>
      </w:r>
    </w:p>
    <w:p w:rsidR="00A648FF" w:rsidRPr="00A014B9" w:rsidRDefault="003F7BDE" w:rsidP="00D523A1">
      <w:pPr>
        <w:pStyle w:val="Delibera"/>
        <w:tabs>
          <w:tab w:val="clear" w:pos="567"/>
          <w:tab w:val="clear" w:pos="1134"/>
          <w:tab w:val="clear" w:pos="1418"/>
          <w:tab w:val="clear" w:pos="1701"/>
          <w:tab w:val="left" w:pos="5103"/>
          <w:tab w:val="left" w:pos="5670"/>
        </w:tabs>
        <w:spacing w:line="240" w:lineRule="auto"/>
        <w:ind w:right="-2"/>
        <w:rPr>
          <w:szCs w:val="24"/>
        </w:rPr>
      </w:pPr>
      <w:r w:rsidRPr="00A014B9">
        <w:t>Alla formulazione dell</w:t>
      </w:r>
      <w:r w:rsidR="00F3314C" w:rsidRPr="00A014B9">
        <w:t>a</w:t>
      </w:r>
      <w:r w:rsidRPr="00A014B9">
        <w:t xml:space="preserve"> proposta provvede il Consiglio di Amministrazione</w:t>
      </w:r>
      <w:r w:rsidR="007259A5" w:rsidRPr="00A014B9">
        <w:t>.</w:t>
      </w:r>
    </w:p>
    <w:p w:rsidR="003F7BDE" w:rsidRPr="00A014B9" w:rsidRDefault="003F7BDE" w:rsidP="00D523A1">
      <w:pPr>
        <w:pStyle w:val="Delibera"/>
        <w:tabs>
          <w:tab w:val="clear" w:pos="567"/>
          <w:tab w:val="clear" w:pos="1134"/>
          <w:tab w:val="clear" w:pos="1418"/>
          <w:tab w:val="clear" w:pos="1701"/>
          <w:tab w:val="left" w:pos="5103"/>
          <w:tab w:val="left" w:pos="5670"/>
        </w:tabs>
        <w:spacing w:line="240" w:lineRule="auto"/>
        <w:ind w:right="-2"/>
        <w:rPr>
          <w:szCs w:val="24"/>
        </w:rPr>
      </w:pPr>
    </w:p>
    <w:p w:rsidR="00321B06" w:rsidRPr="006F1718" w:rsidRDefault="009547DD" w:rsidP="007A5DBA">
      <w:pPr>
        <w:pStyle w:val="Delibera"/>
        <w:tabs>
          <w:tab w:val="clear" w:pos="567"/>
          <w:tab w:val="clear" w:pos="1134"/>
          <w:tab w:val="clear" w:pos="1418"/>
          <w:tab w:val="clear" w:pos="1701"/>
          <w:tab w:val="left" w:pos="5103"/>
          <w:tab w:val="left" w:pos="5670"/>
        </w:tabs>
        <w:spacing w:line="240" w:lineRule="auto"/>
        <w:ind w:right="-2"/>
        <w:rPr>
          <w:b/>
          <w:szCs w:val="24"/>
          <w:u w:val="single"/>
        </w:rPr>
      </w:pPr>
      <w:r w:rsidRPr="006F1718">
        <w:rPr>
          <w:b/>
          <w:szCs w:val="24"/>
          <w:u w:val="single"/>
        </w:rPr>
        <w:t>A</w:t>
      </w:r>
      <w:r w:rsidR="00566900" w:rsidRPr="006F1718">
        <w:rPr>
          <w:b/>
          <w:szCs w:val="24"/>
          <w:u w:val="single"/>
        </w:rPr>
        <w:t>gg</w:t>
      </w:r>
      <w:r w:rsidR="00D523A1" w:rsidRPr="006F1718">
        <w:rPr>
          <w:b/>
          <w:szCs w:val="24"/>
          <w:u w:val="single"/>
        </w:rPr>
        <w:t xml:space="preserve">iornamento normativo  </w:t>
      </w:r>
      <w:r w:rsidR="00566900" w:rsidRPr="006F1718">
        <w:rPr>
          <w:b/>
          <w:szCs w:val="24"/>
          <w:u w:val="single"/>
        </w:rPr>
        <w:t xml:space="preserve"> </w:t>
      </w:r>
    </w:p>
    <w:p w:rsidR="003D546A" w:rsidRPr="00A014B9" w:rsidRDefault="003D546A" w:rsidP="007A5DBA">
      <w:pPr>
        <w:pStyle w:val="Delibera"/>
        <w:tabs>
          <w:tab w:val="clear" w:pos="567"/>
          <w:tab w:val="clear" w:pos="1134"/>
          <w:tab w:val="clear" w:pos="1418"/>
          <w:tab w:val="clear" w:pos="1701"/>
          <w:tab w:val="left" w:pos="5103"/>
          <w:tab w:val="left" w:pos="5670"/>
        </w:tabs>
        <w:spacing w:line="240" w:lineRule="auto"/>
        <w:ind w:right="-2"/>
        <w:rPr>
          <w:szCs w:val="24"/>
        </w:rPr>
      </w:pPr>
      <w:r w:rsidRPr="00A014B9">
        <w:rPr>
          <w:szCs w:val="24"/>
        </w:rPr>
        <w:t xml:space="preserve">I principali interventi normativi hanno </w:t>
      </w:r>
      <w:proofErr w:type="gramStart"/>
      <w:r w:rsidRPr="00A014B9">
        <w:rPr>
          <w:szCs w:val="24"/>
        </w:rPr>
        <w:t>riguardato  provvedimenti</w:t>
      </w:r>
      <w:proofErr w:type="gramEnd"/>
      <w:r w:rsidRPr="00A014B9">
        <w:rPr>
          <w:szCs w:val="24"/>
        </w:rPr>
        <w:t xml:space="preserve"> conseguenti alle misure per il contenimento del contagio da </w:t>
      </w:r>
      <w:proofErr w:type="spellStart"/>
      <w:r w:rsidRPr="00A014B9">
        <w:rPr>
          <w:szCs w:val="24"/>
        </w:rPr>
        <w:t>C</w:t>
      </w:r>
      <w:r w:rsidR="001E1EFD" w:rsidRPr="00A014B9">
        <w:rPr>
          <w:szCs w:val="24"/>
        </w:rPr>
        <w:t>ovid</w:t>
      </w:r>
      <w:proofErr w:type="spellEnd"/>
      <w:r w:rsidRPr="00A014B9">
        <w:rPr>
          <w:szCs w:val="24"/>
        </w:rPr>
        <w:t xml:space="preserve"> – 19 ed il sostegno all’economia del Paese dalle conseguenze della pandemia.</w:t>
      </w:r>
      <w:r w:rsidR="003646EE" w:rsidRPr="00A014B9">
        <w:rPr>
          <w:szCs w:val="24"/>
        </w:rPr>
        <w:t xml:space="preserve"> Con implicazioni per la   Fondazione si segnalano:</w:t>
      </w:r>
    </w:p>
    <w:p w:rsidR="000837EB" w:rsidRPr="00A014B9" w:rsidRDefault="000837EB" w:rsidP="000837EB">
      <w:pPr>
        <w:pStyle w:val="NormaleWeb"/>
        <w:spacing w:before="0" w:beforeAutospacing="0" w:after="0" w:afterAutospacing="0"/>
        <w:jc w:val="both"/>
      </w:pPr>
    </w:p>
    <w:p w:rsidR="000837EB" w:rsidRPr="00A014B9" w:rsidRDefault="000837EB" w:rsidP="000837EB">
      <w:pPr>
        <w:pStyle w:val="NormaleWeb"/>
        <w:spacing w:before="0" w:beforeAutospacing="0" w:after="0" w:afterAutospacing="0"/>
        <w:jc w:val="both"/>
      </w:pPr>
      <w:r w:rsidRPr="00A014B9">
        <w:t>Decreto-</w:t>
      </w:r>
      <w:proofErr w:type="gramStart"/>
      <w:r w:rsidRPr="00A014B9">
        <w:t>legge  17</w:t>
      </w:r>
      <w:proofErr w:type="gramEnd"/>
      <w:r w:rsidRPr="00A014B9">
        <w:t xml:space="preserve"> marzo 2020,  n. 18  art. 106, commi 1 e 2 , </w:t>
      </w:r>
      <w:r w:rsidR="00F3314C" w:rsidRPr="00A014B9">
        <w:t xml:space="preserve">che </w:t>
      </w:r>
      <w:r w:rsidRPr="00A014B9">
        <w:t xml:space="preserve"> consent</w:t>
      </w:r>
      <w:r w:rsidR="00F3314C" w:rsidRPr="00A014B9">
        <w:t>e</w:t>
      </w:r>
      <w:r w:rsidRPr="00A014B9">
        <w:t xml:space="preserve"> di svolgere le riunioni degli organi mediante sistemi di collegamento in teleconferenza sia video che audio anche laddove tale modalità non sia espressamente prevista nello Statuto, fermo restano il rispetto di criteri di trasparenza e tracciabilità previamente fissati e purché siano individuati sistemi che consentano di identificare con certezza i partecipanti.  </w:t>
      </w:r>
    </w:p>
    <w:p w:rsidR="000837EB" w:rsidRPr="00A014B9" w:rsidRDefault="000837EB" w:rsidP="007A5DBA">
      <w:pPr>
        <w:pStyle w:val="Titolo2"/>
        <w:shd w:val="clear" w:color="auto" w:fill="FFFFFF"/>
        <w:spacing w:before="0"/>
        <w:ind w:right="240"/>
        <w:jc w:val="both"/>
        <w:rPr>
          <w:rFonts w:ascii="Times New Roman" w:hAnsi="Times New Roman" w:cs="Times New Roman"/>
          <w:b w:val="0"/>
          <w:color w:val="auto"/>
          <w:sz w:val="24"/>
          <w:szCs w:val="24"/>
        </w:rPr>
      </w:pPr>
    </w:p>
    <w:p w:rsidR="00A94705" w:rsidRPr="00A014B9" w:rsidRDefault="00A94705" w:rsidP="007A5DBA">
      <w:pPr>
        <w:pStyle w:val="Titolo2"/>
        <w:shd w:val="clear" w:color="auto" w:fill="FFFFFF"/>
        <w:spacing w:before="0"/>
        <w:ind w:right="240"/>
        <w:jc w:val="both"/>
        <w:rPr>
          <w:rFonts w:ascii="Times New Roman" w:hAnsi="Times New Roman" w:cs="Times New Roman"/>
          <w:b w:val="0"/>
          <w:color w:val="auto"/>
          <w:sz w:val="24"/>
          <w:szCs w:val="24"/>
        </w:rPr>
      </w:pPr>
      <w:r w:rsidRPr="00A014B9">
        <w:rPr>
          <w:rFonts w:ascii="Times New Roman" w:hAnsi="Times New Roman" w:cs="Times New Roman"/>
          <w:b w:val="0"/>
          <w:color w:val="auto"/>
          <w:sz w:val="24"/>
          <w:szCs w:val="24"/>
        </w:rPr>
        <w:t xml:space="preserve">Decreto-legge </w:t>
      </w:r>
      <w:r w:rsidRPr="00A014B9">
        <w:rPr>
          <w:rFonts w:ascii="Times New Roman" w:hAnsi="Times New Roman" w:cs="Times New Roman"/>
          <w:b w:val="0"/>
          <w:color w:val="auto"/>
          <w:sz w:val="24"/>
          <w:szCs w:val="24"/>
          <w:bdr w:val="none" w:sz="0" w:space="0" w:color="auto" w:frame="1"/>
        </w:rPr>
        <w:t xml:space="preserve">25 marzo 2020, n. </w:t>
      </w:r>
      <w:proofErr w:type="gramStart"/>
      <w:r w:rsidRPr="00A014B9">
        <w:rPr>
          <w:rFonts w:ascii="Times New Roman" w:hAnsi="Times New Roman" w:cs="Times New Roman"/>
          <w:b w:val="0"/>
          <w:color w:val="auto"/>
          <w:sz w:val="24"/>
          <w:szCs w:val="24"/>
          <w:bdr w:val="none" w:sz="0" w:space="0" w:color="auto" w:frame="1"/>
        </w:rPr>
        <w:t>19 </w:t>
      </w:r>
      <w:r w:rsidR="00F3314C" w:rsidRPr="00A014B9">
        <w:rPr>
          <w:rFonts w:ascii="Times New Roman" w:hAnsi="Times New Roman" w:cs="Times New Roman"/>
          <w:b w:val="0"/>
          <w:color w:val="auto"/>
          <w:sz w:val="24"/>
          <w:szCs w:val="24"/>
          <w:bdr w:val="none" w:sz="0" w:space="0" w:color="auto" w:frame="1"/>
        </w:rPr>
        <w:t xml:space="preserve"> in</w:t>
      </w:r>
      <w:proofErr w:type="gramEnd"/>
      <w:r w:rsidR="00F3314C" w:rsidRPr="00A014B9">
        <w:rPr>
          <w:rFonts w:ascii="Times New Roman" w:hAnsi="Times New Roman" w:cs="Times New Roman"/>
          <w:b w:val="0"/>
          <w:color w:val="auto"/>
          <w:sz w:val="24"/>
          <w:szCs w:val="24"/>
          <w:bdr w:val="none" w:sz="0" w:space="0" w:color="auto" w:frame="1"/>
        </w:rPr>
        <w:t xml:space="preserve"> materia di </w:t>
      </w:r>
      <w:r w:rsidR="001E1EFD" w:rsidRPr="00A014B9">
        <w:rPr>
          <w:rFonts w:ascii="Times New Roman" w:hAnsi="Times New Roman" w:cs="Times New Roman"/>
          <w:b w:val="0"/>
          <w:color w:val="auto"/>
          <w:sz w:val="24"/>
          <w:szCs w:val="24"/>
          <w:bdr w:val="none" w:sz="0" w:space="0" w:color="auto" w:frame="1"/>
        </w:rPr>
        <w:t xml:space="preserve"> </w:t>
      </w:r>
      <w:r w:rsidR="00F3314C" w:rsidRPr="00A014B9">
        <w:rPr>
          <w:rFonts w:ascii="Times New Roman" w:hAnsi="Times New Roman" w:cs="Times New Roman"/>
          <w:b w:val="0"/>
          <w:bCs w:val="0"/>
          <w:color w:val="auto"/>
          <w:sz w:val="24"/>
          <w:szCs w:val="24"/>
          <w:bdr w:val="none" w:sz="0" w:space="0" w:color="auto" w:frame="1"/>
        </w:rPr>
        <w:t>m</w:t>
      </w:r>
      <w:r w:rsidRPr="00A014B9">
        <w:rPr>
          <w:rFonts w:ascii="Times New Roman" w:hAnsi="Times New Roman" w:cs="Times New Roman"/>
          <w:b w:val="0"/>
          <w:bCs w:val="0"/>
          <w:color w:val="auto"/>
          <w:sz w:val="24"/>
          <w:szCs w:val="24"/>
          <w:bdr w:val="none" w:sz="0" w:space="0" w:color="auto" w:frame="1"/>
        </w:rPr>
        <w:t>isure urgenti per fronteggiare l'emergenza epidemiologica da C</w:t>
      </w:r>
      <w:r w:rsidR="001E1EFD" w:rsidRPr="00A014B9">
        <w:rPr>
          <w:rFonts w:ascii="Times New Roman" w:hAnsi="Times New Roman" w:cs="Times New Roman"/>
          <w:b w:val="0"/>
          <w:bCs w:val="0"/>
          <w:color w:val="auto"/>
          <w:sz w:val="24"/>
          <w:szCs w:val="24"/>
          <w:bdr w:val="none" w:sz="0" w:space="0" w:color="auto" w:frame="1"/>
        </w:rPr>
        <w:t>ovid</w:t>
      </w:r>
      <w:r w:rsidRPr="00A014B9">
        <w:rPr>
          <w:rFonts w:ascii="Times New Roman" w:hAnsi="Times New Roman" w:cs="Times New Roman"/>
          <w:b w:val="0"/>
          <w:bCs w:val="0"/>
          <w:color w:val="auto"/>
          <w:sz w:val="24"/>
          <w:szCs w:val="24"/>
          <w:bdr w:val="none" w:sz="0" w:space="0" w:color="auto" w:frame="1"/>
        </w:rPr>
        <w:t xml:space="preserve">-19. </w:t>
      </w:r>
    </w:p>
    <w:p w:rsidR="00F65AE7" w:rsidRPr="00A014B9" w:rsidRDefault="00F65AE7" w:rsidP="007A5DBA">
      <w:pPr>
        <w:widowControl w:val="0"/>
        <w:jc w:val="both"/>
      </w:pPr>
    </w:p>
    <w:p w:rsidR="00B91220" w:rsidRPr="00A014B9" w:rsidRDefault="003D546A" w:rsidP="007A5DBA">
      <w:pPr>
        <w:widowControl w:val="0"/>
        <w:jc w:val="both"/>
      </w:pPr>
      <w:r w:rsidRPr="00A014B9">
        <w:t>D</w:t>
      </w:r>
      <w:r w:rsidR="00B91220" w:rsidRPr="00A014B9">
        <w:t>ecreto-legge 8 aprile 2020</w:t>
      </w:r>
      <w:r w:rsidR="000837EB" w:rsidRPr="00A014B9">
        <w:t>,</w:t>
      </w:r>
      <w:r w:rsidR="00B91220" w:rsidRPr="00A014B9">
        <w:t xml:space="preserve"> n. 23, che ha </w:t>
      </w:r>
      <w:proofErr w:type="gramStart"/>
      <w:r w:rsidR="00B91220" w:rsidRPr="00A014B9">
        <w:t>introdotto  misure</w:t>
      </w:r>
      <w:proofErr w:type="gramEnd"/>
      <w:r w:rsidR="00B91220" w:rsidRPr="00A014B9">
        <w:t xml:space="preserve"> a sostegno della liquidità delle imprese, nonché misure fiscali e contabili per affrontare l’emergenza dovuta alla diffusione dell’epidemia da Covid-19. </w:t>
      </w:r>
    </w:p>
    <w:p w:rsidR="003D546A" w:rsidRPr="00A014B9" w:rsidRDefault="003D546A" w:rsidP="00B91220">
      <w:pPr>
        <w:widowControl w:val="0"/>
        <w:jc w:val="both"/>
      </w:pPr>
    </w:p>
    <w:p w:rsidR="000C78A1" w:rsidRPr="00A014B9" w:rsidRDefault="000C78A1" w:rsidP="00D63C6F">
      <w:pPr>
        <w:pStyle w:val="Delibera"/>
        <w:spacing w:line="240" w:lineRule="auto"/>
        <w:rPr>
          <w:szCs w:val="24"/>
        </w:rPr>
      </w:pPr>
      <w:r w:rsidRPr="00A014B9">
        <w:rPr>
          <w:szCs w:val="24"/>
        </w:rPr>
        <w:t>D</w:t>
      </w:r>
      <w:r w:rsidR="00F9440C" w:rsidRPr="00A014B9">
        <w:rPr>
          <w:szCs w:val="24"/>
        </w:rPr>
        <w:t>pcm</w:t>
      </w:r>
      <w:r w:rsidRPr="00A014B9">
        <w:rPr>
          <w:szCs w:val="24"/>
        </w:rPr>
        <w:t xml:space="preserve"> 26 aprile</w:t>
      </w:r>
      <w:r w:rsidR="00F9440C" w:rsidRPr="00A014B9">
        <w:rPr>
          <w:szCs w:val="24"/>
        </w:rPr>
        <w:t xml:space="preserve"> </w:t>
      </w:r>
      <w:proofErr w:type="gramStart"/>
      <w:r w:rsidR="00F9440C" w:rsidRPr="00A014B9">
        <w:rPr>
          <w:szCs w:val="24"/>
        </w:rPr>
        <w:t xml:space="preserve">2020 </w:t>
      </w:r>
      <w:r w:rsidRPr="00A014B9">
        <w:rPr>
          <w:szCs w:val="24"/>
        </w:rPr>
        <w:t xml:space="preserve"> </w:t>
      </w:r>
      <w:r w:rsidR="00D63C6F" w:rsidRPr="00A014B9">
        <w:rPr>
          <w:szCs w:val="24"/>
        </w:rPr>
        <w:t>in</w:t>
      </w:r>
      <w:proofErr w:type="gramEnd"/>
      <w:r w:rsidR="00D63C6F" w:rsidRPr="00A014B9">
        <w:rPr>
          <w:szCs w:val="24"/>
        </w:rPr>
        <w:t xml:space="preserve"> materia di </w:t>
      </w:r>
      <w:r w:rsidRPr="00A014B9">
        <w:rPr>
          <w:szCs w:val="24"/>
        </w:rPr>
        <w:t>contenimento del contagio da Covid-19</w:t>
      </w:r>
      <w:r w:rsidR="003646EE" w:rsidRPr="00A014B9">
        <w:rPr>
          <w:szCs w:val="24"/>
        </w:rPr>
        <w:t>;</w:t>
      </w:r>
      <w:r w:rsidRPr="00A014B9">
        <w:rPr>
          <w:szCs w:val="24"/>
        </w:rPr>
        <w:t xml:space="preserve"> conferma - fra le attività non sospese - quelle riconducibili al codice </w:t>
      </w:r>
      <w:proofErr w:type="spellStart"/>
      <w:r w:rsidRPr="00A014B9">
        <w:rPr>
          <w:szCs w:val="24"/>
        </w:rPr>
        <w:t>Ateco</w:t>
      </w:r>
      <w:proofErr w:type="spellEnd"/>
      <w:r w:rsidRPr="00A014B9">
        <w:rPr>
          <w:szCs w:val="24"/>
        </w:rPr>
        <w:t xml:space="preserve"> “94”, che fa riferimento alla categoria delle “Attività di organizzazione associative” che quindi riguarda </w:t>
      </w:r>
      <w:r w:rsidR="00D63C6F" w:rsidRPr="00A014B9">
        <w:rPr>
          <w:szCs w:val="24"/>
        </w:rPr>
        <w:t>anche le Fondazioni bancarie</w:t>
      </w:r>
      <w:r w:rsidRPr="00A014B9">
        <w:rPr>
          <w:szCs w:val="24"/>
        </w:rPr>
        <w:t>, mentre permangono sospese le aperture al pubblico dei musei e degli altri istituti e luoghi della cultura.</w:t>
      </w:r>
    </w:p>
    <w:p w:rsidR="009F50C5" w:rsidRPr="00A014B9" w:rsidRDefault="009F50C5" w:rsidP="005C0C8D">
      <w:pPr>
        <w:jc w:val="both"/>
        <w:rPr>
          <w:rStyle w:val="Enfasigrassetto"/>
          <w:b w:val="0"/>
        </w:rPr>
      </w:pPr>
    </w:p>
    <w:p w:rsidR="004353AA" w:rsidRPr="00A014B9" w:rsidRDefault="00D63C6F" w:rsidP="00D63C6F">
      <w:pPr>
        <w:jc w:val="both"/>
      </w:pPr>
      <w:r w:rsidRPr="00A014B9">
        <w:t>D</w:t>
      </w:r>
      <w:r w:rsidR="004353AA" w:rsidRPr="00A014B9">
        <w:t>ecreto-legge 19 maggio 2020</w:t>
      </w:r>
      <w:r w:rsidR="000837EB" w:rsidRPr="00A014B9">
        <w:t>,</w:t>
      </w:r>
      <w:r w:rsidR="004353AA" w:rsidRPr="00A014B9">
        <w:t xml:space="preserve"> n. 34 (c.d. “decreto rilancio”) tra cui, in particolare</w:t>
      </w:r>
      <w:r w:rsidR="000837EB" w:rsidRPr="00A014B9">
        <w:t>,</w:t>
      </w:r>
      <w:r w:rsidRPr="00A014B9">
        <w:t xml:space="preserve"> </w:t>
      </w:r>
      <w:bookmarkStart w:id="0" w:name="_Hlk49764372"/>
      <w:proofErr w:type="gramStart"/>
      <w:r w:rsidR="000837EB" w:rsidRPr="00A014B9">
        <w:t>l’ art.</w:t>
      </w:r>
      <w:proofErr w:type="gramEnd"/>
      <w:r w:rsidR="000837EB" w:rsidRPr="00A014B9">
        <w:t xml:space="preserve"> 24 </w:t>
      </w:r>
      <w:bookmarkEnd w:id="0"/>
      <w:r w:rsidR="000837EB" w:rsidRPr="00A014B9">
        <w:t>relativo alla soppressione del saldo 2019 e la prima rata dell’acconto 2020 dell’IRAP e le misure</w:t>
      </w:r>
      <w:r w:rsidRPr="00A014B9">
        <w:t xml:space="preserve"> </w:t>
      </w:r>
      <w:r w:rsidR="004353AA" w:rsidRPr="00A014B9">
        <w:t xml:space="preserve">  previste dall’art. 120 (Credito d’imposta per l’adeguamento degli ambienti di lavoro) e dall’art. 125 (Credito di imposta per la sanificazione e l’acquisto di dispositivi di protezione). </w:t>
      </w:r>
    </w:p>
    <w:p w:rsidR="004353AA" w:rsidRPr="00A014B9" w:rsidRDefault="004353AA" w:rsidP="005C0C8D">
      <w:pPr>
        <w:jc w:val="both"/>
        <w:rPr>
          <w:rStyle w:val="Enfasigrassetto"/>
          <w:b w:val="0"/>
        </w:rPr>
      </w:pPr>
    </w:p>
    <w:p w:rsidR="00B73771" w:rsidRPr="00A014B9" w:rsidRDefault="00B73771" w:rsidP="00B73771">
      <w:pPr>
        <w:pStyle w:val="Griglia"/>
        <w:spacing w:line="240" w:lineRule="auto"/>
        <w:jc w:val="both"/>
        <w:rPr>
          <w:sz w:val="24"/>
          <w:szCs w:val="24"/>
        </w:rPr>
      </w:pPr>
    </w:p>
    <w:p w:rsidR="00B73771" w:rsidRPr="00A014B9" w:rsidRDefault="00A94705" w:rsidP="00B73771">
      <w:pPr>
        <w:pStyle w:val="Griglia"/>
        <w:spacing w:line="240" w:lineRule="auto"/>
        <w:jc w:val="both"/>
        <w:rPr>
          <w:sz w:val="24"/>
          <w:szCs w:val="24"/>
        </w:rPr>
      </w:pPr>
      <w:r w:rsidRPr="00A014B9">
        <w:rPr>
          <w:sz w:val="24"/>
          <w:szCs w:val="24"/>
        </w:rPr>
        <w:t xml:space="preserve">Decreto-legge </w:t>
      </w:r>
      <w:r w:rsidR="000837EB" w:rsidRPr="00A014B9">
        <w:rPr>
          <w:sz w:val="24"/>
          <w:szCs w:val="24"/>
        </w:rPr>
        <w:t xml:space="preserve">330 luglio 2020, </w:t>
      </w:r>
      <w:r w:rsidRPr="00A014B9">
        <w:rPr>
          <w:sz w:val="24"/>
          <w:szCs w:val="24"/>
        </w:rPr>
        <w:t xml:space="preserve">n. 83 </w:t>
      </w:r>
      <w:r w:rsidR="00D63C6F" w:rsidRPr="00A014B9">
        <w:rPr>
          <w:sz w:val="24"/>
          <w:szCs w:val="24"/>
        </w:rPr>
        <w:t xml:space="preserve">art. 1, comma 3, </w:t>
      </w:r>
      <w:proofErr w:type="gramStart"/>
      <w:r w:rsidRPr="00A014B9">
        <w:rPr>
          <w:sz w:val="24"/>
          <w:szCs w:val="24"/>
        </w:rPr>
        <w:t>che  p</w:t>
      </w:r>
      <w:r w:rsidR="00B73771" w:rsidRPr="00A014B9">
        <w:rPr>
          <w:sz w:val="24"/>
          <w:szCs w:val="24"/>
        </w:rPr>
        <w:t>roroga</w:t>
      </w:r>
      <w:proofErr w:type="gramEnd"/>
      <w:r w:rsidR="00B73771" w:rsidRPr="00A014B9">
        <w:rPr>
          <w:sz w:val="24"/>
          <w:szCs w:val="24"/>
        </w:rPr>
        <w:t xml:space="preserve"> delle disposizioni in tema di svolgimento degli organi delle fondazioni e delle società tramite strumenti di telecomunicazione </w:t>
      </w:r>
    </w:p>
    <w:p w:rsidR="00D63C6F" w:rsidRPr="00A014B9" w:rsidRDefault="00D63C6F" w:rsidP="00B73771">
      <w:pPr>
        <w:pStyle w:val="Griglia"/>
        <w:spacing w:line="240" w:lineRule="auto"/>
        <w:jc w:val="both"/>
        <w:rPr>
          <w:sz w:val="24"/>
          <w:szCs w:val="24"/>
        </w:rPr>
      </w:pPr>
    </w:p>
    <w:p w:rsidR="00B73771" w:rsidRPr="00A014B9" w:rsidRDefault="00B73771" w:rsidP="00B73771">
      <w:pPr>
        <w:pStyle w:val="Griglia"/>
        <w:spacing w:line="240" w:lineRule="auto"/>
        <w:jc w:val="both"/>
        <w:rPr>
          <w:sz w:val="24"/>
          <w:szCs w:val="24"/>
        </w:rPr>
      </w:pPr>
    </w:p>
    <w:p w:rsidR="007E4919" w:rsidRPr="00A014B9" w:rsidRDefault="00F9440C" w:rsidP="00A94705">
      <w:pPr>
        <w:jc w:val="both"/>
      </w:pPr>
      <w:r w:rsidRPr="00A014B9">
        <w:t xml:space="preserve">Decreto-legge </w:t>
      </w:r>
      <w:r w:rsidR="000837EB" w:rsidRPr="00A014B9">
        <w:t xml:space="preserve">14 agosto 2020, </w:t>
      </w:r>
      <w:r w:rsidR="00D63C6F" w:rsidRPr="00A014B9">
        <w:t>n. 104</w:t>
      </w:r>
      <w:r w:rsidR="000837EB" w:rsidRPr="00A014B9">
        <w:t xml:space="preserve"> </w:t>
      </w:r>
    </w:p>
    <w:p w:rsidR="00B73771" w:rsidRPr="00A014B9" w:rsidRDefault="00A94705" w:rsidP="00A94705">
      <w:pPr>
        <w:jc w:val="both"/>
        <w:rPr>
          <w:bCs/>
        </w:rPr>
      </w:pPr>
      <w:r w:rsidRPr="00A014B9">
        <w:t>art. 97</w:t>
      </w:r>
      <w:r w:rsidR="00C80966" w:rsidRPr="00A014B9">
        <w:t xml:space="preserve"> </w:t>
      </w:r>
      <w:r w:rsidR="00D63C6F" w:rsidRPr="00A014B9">
        <w:t xml:space="preserve">dispone un’ulteriore </w:t>
      </w:r>
      <w:r w:rsidR="00B73771" w:rsidRPr="00A014B9">
        <w:t xml:space="preserve">rateizzazione dei versamenti sospesi ex art. 18 del DL n. 23 del 2020 </w:t>
      </w:r>
      <w:r w:rsidRPr="00A014B9">
        <w:t>e c</w:t>
      </w:r>
      <w:r w:rsidR="00B73771" w:rsidRPr="00A014B9">
        <w:t xml:space="preserve">onferma inclusione degli enti non commerciali fra i soggetti destinatari della soppressione del saldo IRAP 2019 e dell’acconto IRAP 2020 di cui all’art. 24 del DL n. 34 del 2020 </w:t>
      </w:r>
    </w:p>
    <w:p w:rsidR="00A94705" w:rsidRPr="00A014B9" w:rsidRDefault="00A94705" w:rsidP="005C0C8D">
      <w:pPr>
        <w:jc w:val="both"/>
        <w:rPr>
          <w:rStyle w:val="Enfasigrassetto"/>
          <w:b w:val="0"/>
        </w:rPr>
      </w:pPr>
    </w:p>
    <w:p w:rsidR="003709F8" w:rsidRPr="006F1718" w:rsidRDefault="00566900" w:rsidP="005C0C8D">
      <w:pPr>
        <w:jc w:val="both"/>
        <w:rPr>
          <w:rStyle w:val="Enfasigrassetto"/>
          <w:u w:val="single"/>
        </w:rPr>
      </w:pPr>
      <w:r w:rsidRPr="006F1718">
        <w:rPr>
          <w:rStyle w:val="Enfasigrassetto"/>
          <w:u w:val="single"/>
        </w:rPr>
        <w:t xml:space="preserve">Quadro macroeconomico </w:t>
      </w:r>
    </w:p>
    <w:p w:rsidR="009547DD" w:rsidRPr="00A014B9" w:rsidRDefault="009547DD" w:rsidP="008A0BFF">
      <w:pPr>
        <w:pStyle w:val="Corpotesto"/>
        <w:spacing w:line="240" w:lineRule="auto"/>
        <w:rPr>
          <w:bCs w:val="0"/>
        </w:rPr>
      </w:pPr>
      <w:proofErr w:type="gramStart"/>
      <w:r w:rsidRPr="00A014B9">
        <w:rPr>
          <w:bCs w:val="0"/>
        </w:rPr>
        <w:t>Per  la</w:t>
      </w:r>
      <w:proofErr w:type="gramEnd"/>
      <w:r w:rsidRPr="00A014B9">
        <w:rPr>
          <w:bCs w:val="0"/>
        </w:rPr>
        <w:t xml:space="preserve"> valutazione degli elementi di natura macroeconomica  necessari per un inquadramento del contesto  generale entro il quale  viene formulato il presente aggiornamento,  si è tenuto conto  delle proiezioni   macroeconomiche  </w:t>
      </w:r>
      <w:r w:rsidR="0017705A" w:rsidRPr="00A014B9">
        <w:rPr>
          <w:bCs w:val="0"/>
        </w:rPr>
        <w:t xml:space="preserve">elaborate </w:t>
      </w:r>
      <w:r w:rsidRPr="00A014B9">
        <w:rPr>
          <w:bCs w:val="0"/>
        </w:rPr>
        <w:t>dalle principali organizzazioni</w:t>
      </w:r>
      <w:r w:rsidR="007259A5" w:rsidRPr="00A014B9">
        <w:rPr>
          <w:bCs w:val="0"/>
        </w:rPr>
        <w:t xml:space="preserve"> economico-finanziarie mondiali </w:t>
      </w:r>
      <w:r w:rsidR="00343641" w:rsidRPr="00A014B9">
        <w:rPr>
          <w:bCs w:val="0"/>
        </w:rPr>
        <w:t xml:space="preserve"> </w:t>
      </w:r>
      <w:r w:rsidR="007259A5" w:rsidRPr="00A014B9">
        <w:rPr>
          <w:bCs w:val="0"/>
        </w:rPr>
        <w:t>per l’anno 202</w:t>
      </w:r>
      <w:r w:rsidR="00A94705" w:rsidRPr="00A014B9">
        <w:rPr>
          <w:bCs w:val="0"/>
        </w:rPr>
        <w:t>1</w:t>
      </w:r>
      <w:r w:rsidR="007259A5" w:rsidRPr="00A014B9">
        <w:rPr>
          <w:bCs w:val="0"/>
        </w:rPr>
        <w:t>.</w:t>
      </w:r>
    </w:p>
    <w:p w:rsidR="009547DD" w:rsidRPr="00A014B9" w:rsidRDefault="009547DD" w:rsidP="008A0BFF">
      <w:pPr>
        <w:jc w:val="both"/>
      </w:pPr>
      <w:r w:rsidRPr="00A014B9">
        <w:t xml:space="preserve">Le previsioni relative all’evoluzione dei mercati finanziari sono state desunte </w:t>
      </w:r>
      <w:proofErr w:type="gramStart"/>
      <w:r w:rsidRPr="00A014B9">
        <w:t>dagli  Outlook</w:t>
      </w:r>
      <w:proofErr w:type="gramEnd"/>
      <w:r w:rsidRPr="00A014B9">
        <w:t xml:space="preserve"> pubblicati da  vari  istituti e  primarie società finanziarie sia  italiane  che  estere</w:t>
      </w:r>
      <w:r w:rsidR="00343641" w:rsidRPr="00A014B9">
        <w:t xml:space="preserve"> </w:t>
      </w:r>
      <w:r w:rsidR="00343641" w:rsidRPr="00A014B9">
        <w:rPr>
          <w:bCs/>
        </w:rPr>
        <w:t xml:space="preserve">per gli scenari </w:t>
      </w:r>
      <w:r w:rsidR="00343641" w:rsidRPr="00A014B9">
        <w:t>2021.</w:t>
      </w:r>
    </w:p>
    <w:p w:rsidR="0029308E" w:rsidRPr="00A014B9" w:rsidRDefault="0029308E" w:rsidP="008A0BFF">
      <w:pPr>
        <w:spacing w:after="75"/>
        <w:jc w:val="both"/>
        <w:rPr>
          <w:color w:val="000000"/>
        </w:rPr>
      </w:pPr>
    </w:p>
    <w:p w:rsidR="001B0525" w:rsidRPr="00A014B9" w:rsidRDefault="001B0525" w:rsidP="001B0525">
      <w:pPr>
        <w:shd w:val="clear" w:color="auto" w:fill="FFFFFF"/>
        <w:spacing w:after="100" w:afterAutospacing="1"/>
      </w:pPr>
      <w:r w:rsidRPr="00A014B9">
        <w:t xml:space="preserve">La diffusione su scala globale del Covid-19 ha duramente colpito le economie sviluppate ed emergenti e le prospettive di ripresa per la seconda parte del </w:t>
      </w:r>
      <w:proofErr w:type="gramStart"/>
      <w:r w:rsidRPr="00A014B9">
        <w:t>2020  sono</w:t>
      </w:r>
      <w:proofErr w:type="gramEnd"/>
      <w:r w:rsidRPr="00A014B9">
        <w:t xml:space="preserve"> fortemente dipendenti dall’evoluzione dell’emergenza sanitaria e ciò accresce l’incertezza di fondo dello scenario.</w:t>
      </w:r>
    </w:p>
    <w:p w:rsidR="001B0525" w:rsidRPr="00A014B9" w:rsidRDefault="001B0525" w:rsidP="001B0525">
      <w:pPr>
        <w:shd w:val="clear" w:color="auto" w:fill="FFFFFF"/>
        <w:spacing w:after="100" w:afterAutospacing="1"/>
      </w:pPr>
      <w:r w:rsidRPr="00A014B9">
        <w:t xml:space="preserve">Secondo alcune </w:t>
      </w:r>
      <w:proofErr w:type="gramStart"/>
      <w:r w:rsidRPr="00A014B9">
        <w:t>stime  in</w:t>
      </w:r>
      <w:proofErr w:type="gramEnd"/>
      <w:r w:rsidRPr="00A014B9">
        <w:t xml:space="preserve"> termini di ripercussioni economiche, rispetto alla stima di crescita per il 2020 effettuata a ottobre dello scorso anno (quindi in periodo </w:t>
      </w:r>
      <w:proofErr w:type="spellStart"/>
      <w:r w:rsidRPr="00A014B9">
        <w:t>pre-Covid</w:t>
      </w:r>
      <w:proofErr w:type="spellEnd"/>
      <w:r w:rsidRPr="00A014B9">
        <w:t xml:space="preserve">), che prevedeva un aumento del 3,4% per il 2020, il Pil mondiale sarebbe di 8,1 trilioni di dollari più basso. Di questi il 44% circa sarebbe dovuto alla mancata crescita di soli due paesi: Stati Uniti e Cina. Più in dettaglio, 2,6 trilioni di mancata crescita sarebbero dovuti al calo del Pil negli Stati Uniti (che a fine anno dovrebbe registrare un -8% secondo le ultime stime del FMI), e circa 1,0 alla debolissima crescita cinese, che quest’anno non dovrebbe superare l’1%. </w:t>
      </w:r>
    </w:p>
    <w:p w:rsidR="001B0525" w:rsidRPr="00A014B9" w:rsidRDefault="001B0525" w:rsidP="001B0525">
      <w:pPr>
        <w:pStyle w:val="NormaleWeb"/>
        <w:shd w:val="clear" w:color="auto" w:fill="FFFFFF"/>
        <w:spacing w:after="105"/>
        <w:jc w:val="both"/>
      </w:pPr>
      <w:r w:rsidRPr="00A014B9">
        <w:t xml:space="preserve">La contrazione degli scambi internazionali accentuatasi in aprile ha visto   </w:t>
      </w:r>
      <w:proofErr w:type="gramStart"/>
      <w:r w:rsidRPr="00A014B9">
        <w:t>poi  segnali</w:t>
      </w:r>
      <w:proofErr w:type="gramEnd"/>
      <w:r w:rsidRPr="00A014B9">
        <w:t xml:space="preserve"> di ripresa. Restano comunque significativi i rischi tenuto conto </w:t>
      </w:r>
      <w:proofErr w:type="gramStart"/>
      <w:r w:rsidRPr="00A014B9">
        <w:t>che  da</w:t>
      </w:r>
      <w:proofErr w:type="gramEnd"/>
      <w:r w:rsidRPr="00A014B9">
        <w:t xml:space="preserve"> maggio l'epidemia si è nuovamente intensificata. </w:t>
      </w:r>
    </w:p>
    <w:p w:rsidR="006F1718" w:rsidRDefault="001B0525" w:rsidP="006F1718">
      <w:pPr>
        <w:pStyle w:val="NormaleWeb"/>
        <w:shd w:val="clear" w:color="auto" w:fill="FFFFFF"/>
        <w:spacing w:after="105"/>
        <w:jc w:val="both"/>
      </w:pPr>
      <w:r w:rsidRPr="00A014B9">
        <w:t xml:space="preserve">Le misure espansive adottate dai governi delle principali economie </w:t>
      </w:r>
      <w:proofErr w:type="gramStart"/>
      <w:r w:rsidRPr="00A014B9">
        <w:t>mondiali  hanno</w:t>
      </w:r>
      <w:proofErr w:type="gramEnd"/>
      <w:r w:rsidRPr="00A014B9">
        <w:t xml:space="preserve"> favorito un rientro delle tensioni sui mercati finanziari, che rimangono tuttavia sensibili alle notizie sulla diffusione del contagio. Le politiche fiscali pro-cicliche, già utilizzate negli Stati Uniti, Giappone ed in Cina con il Coronavirus, sono </w:t>
      </w:r>
      <w:proofErr w:type="gramStart"/>
      <w:r w:rsidRPr="00A014B9">
        <w:t>state  introdotte</w:t>
      </w:r>
      <w:proofErr w:type="gramEnd"/>
      <w:r w:rsidRPr="00A014B9">
        <w:t xml:space="preserve">  anche in altre aree geografiche come l’Europa. Il quadro geopolitico appare </w:t>
      </w:r>
      <w:proofErr w:type="gramStart"/>
      <w:r w:rsidRPr="00A014B9">
        <w:t>ancora  instabile</w:t>
      </w:r>
      <w:proofErr w:type="gramEnd"/>
      <w:r w:rsidRPr="00A014B9">
        <w:t xml:space="preserve"> sia per la politica adottata dagli Stati Uniti nei confronti in particolare della Cina, sia per le incertezze politiche legate alle elezioni presidenziali, sia per i tanti focolai di tensione nei paesi produttori di materie prime. </w:t>
      </w:r>
    </w:p>
    <w:p w:rsidR="001B0525" w:rsidRPr="00A014B9" w:rsidRDefault="001B0525" w:rsidP="006F1718">
      <w:pPr>
        <w:pStyle w:val="NormaleWeb"/>
        <w:shd w:val="clear" w:color="auto" w:fill="FFFFFF"/>
        <w:spacing w:after="105"/>
        <w:jc w:val="both"/>
      </w:pPr>
      <w:r w:rsidRPr="00A014B9">
        <w:br/>
        <w:t xml:space="preserve">Anche nella zona euro l'impatto della pandemia sull'attività economica è </w:t>
      </w:r>
      <w:proofErr w:type="gramStart"/>
      <w:r w:rsidRPr="00A014B9">
        <w:t>stato  considerevole</w:t>
      </w:r>
      <w:proofErr w:type="gramEnd"/>
      <w:r w:rsidRPr="00A014B9">
        <w:t xml:space="preserve"> nel primo trimestre del 2020. I dati successivi, relativi ai mesi </w:t>
      </w:r>
      <w:proofErr w:type="gramStart"/>
      <w:r w:rsidRPr="00A014B9">
        <w:t>di  maggio</w:t>
      </w:r>
      <w:proofErr w:type="gramEnd"/>
      <w:r w:rsidRPr="00A014B9">
        <w:t xml:space="preserve"> e giugno mostrano un  miglioramento e si prevede che la ripresa acquisti vigore nella seconda metà dell'anno, pur rimanendo incompleta e disomogenea tra gli Stati membri. Le </w:t>
      </w:r>
      <w:hyperlink r:id="rId8" w:history="1">
        <w:r w:rsidRPr="00A014B9">
          <w:rPr>
            <w:rStyle w:val="Collegamentoipertestuale"/>
            <w:rFonts w:ascii="Times New Roman" w:eastAsia="Arial Unicode MS" w:hAnsi="Times New Roman" w:cs="Times New Roman"/>
            <w:color w:val="auto"/>
          </w:rPr>
          <w:t>previsioni economiche di estate 2020</w:t>
        </w:r>
      </w:hyperlink>
      <w:r w:rsidRPr="00A014B9">
        <w:rPr>
          <w:rStyle w:val="Collegamentoipertestuale"/>
          <w:rFonts w:ascii="Times New Roman" w:eastAsia="Arial Unicode MS" w:hAnsi="Times New Roman" w:cs="Times New Roman"/>
          <w:color w:val="auto"/>
        </w:rPr>
        <w:t xml:space="preserve"> prevedono</w:t>
      </w:r>
      <w:r w:rsidRPr="00A014B9">
        <w:rPr>
          <w:rStyle w:val="Collegamentoipertestuale"/>
          <w:rFonts w:eastAsia="Arial Unicode MS"/>
          <w:color w:val="auto"/>
        </w:rPr>
        <w:t xml:space="preserve"> </w:t>
      </w:r>
      <w:r w:rsidRPr="00A014B9">
        <w:t xml:space="preserve"> una contrazione dell'8,7 % nel 2020, per poi crescere del 6,1 % nel 2021, mentre l'economia dell'UE si contrarrà dell'8,3 % nel 2020, per crescere del 5,8 % nel 2021. </w:t>
      </w:r>
    </w:p>
    <w:p w:rsidR="001B0525" w:rsidRPr="00A014B9" w:rsidRDefault="001B0525" w:rsidP="001B0525">
      <w:pPr>
        <w:pStyle w:val="NormaleWeb"/>
        <w:shd w:val="clear" w:color="auto" w:fill="FFFFFF"/>
        <w:spacing w:after="165"/>
        <w:jc w:val="both"/>
      </w:pPr>
      <w:r w:rsidRPr="00A014B9">
        <w:lastRenderedPageBreak/>
        <w:t>L'inflazione nella zona euro, misurata dall'indice armonizzato dei prezzi al consumo (IPCA), è attualmente stimata allo 0,3 % nel 2020 e all'1,1 % nel 2021. A livello UE le previsioni indicano un'inflazione allo 0,6 % nel 2020 e all'1,3 % nel 2021.</w:t>
      </w:r>
    </w:p>
    <w:p w:rsidR="001B0525" w:rsidRPr="00A014B9" w:rsidRDefault="001B0525" w:rsidP="001B0525">
      <w:pPr>
        <w:pStyle w:val="NormaleWeb"/>
        <w:shd w:val="clear" w:color="auto" w:fill="FFFFFF"/>
        <w:spacing w:after="165"/>
        <w:jc w:val="both"/>
      </w:pPr>
      <w:r w:rsidRPr="00A014B9">
        <w:t xml:space="preserve">Va sottolineato che i rischi che gravano sulle previsioni </w:t>
      </w:r>
      <w:proofErr w:type="gramStart"/>
      <w:r w:rsidRPr="00A014B9">
        <w:t>sono  molto</w:t>
      </w:r>
      <w:proofErr w:type="gramEnd"/>
      <w:r w:rsidRPr="00A014B9">
        <w:t xml:space="preserve"> elevati ed orientati in generale verso un peggioramento. E</w:t>
      </w:r>
      <w:proofErr w:type="gramStart"/>
      <w:r w:rsidRPr="00A014B9">
        <w:t>’  valutazione</w:t>
      </w:r>
      <w:proofErr w:type="gramEnd"/>
      <w:r w:rsidRPr="00A014B9">
        <w:t xml:space="preserve">  condivisa che il ritmo della ripresa nel 2021 sarà caratterizzato da notevoli differenze a livello di entità dell'impatto della pandemia e di rapidità del recupero nei diversi Stati membri .</w:t>
      </w:r>
    </w:p>
    <w:p w:rsidR="001B0525" w:rsidRPr="00A014B9" w:rsidRDefault="001B0525" w:rsidP="001B0525">
      <w:pPr>
        <w:pStyle w:val="NormaleWeb"/>
        <w:shd w:val="clear" w:color="auto" w:fill="FFFFFF"/>
        <w:spacing w:after="165"/>
        <w:jc w:val="both"/>
        <w:rPr>
          <w:rStyle w:val="Enfasigrassetto"/>
          <w:b w:val="0"/>
          <w:bCs w:val="0"/>
        </w:rPr>
      </w:pPr>
      <w:r w:rsidRPr="00A014B9">
        <w:t xml:space="preserve">Le misure di contenimento che potrebbero rivelarsi necessarie per contenere gli effetti della </w:t>
      </w:r>
      <w:proofErr w:type="gramStart"/>
      <w:r w:rsidRPr="00A014B9">
        <w:t>pandemia  con</w:t>
      </w:r>
      <w:proofErr w:type="gramEnd"/>
      <w:r w:rsidRPr="00A014B9">
        <w:t xml:space="preserve"> i relativi effetti restano ancora elementi indeterminati. Vi sono rischi concreti che il mercato del lavoro possa subire a lungo termine ripercussioni maggiori del previsto e che le difficoltà di liquidità possano tradursi in problemi di solvibilità per molte imprese. Vi sono inoltre rischi per la stabilità dei mercati finanziari ed esiste il pericolo che gli Stati membri non riescano a coordinare in misura sufficiente le risposte politiche nazionali. Anche l'eventuale mancata conclusione di un accordo sulle future relazioni commerciali tra il Regno Unito e l'UE potrebbe rallentare la crescita.</w:t>
      </w:r>
    </w:p>
    <w:p w:rsidR="001B0525" w:rsidRPr="00A014B9" w:rsidRDefault="001B0525" w:rsidP="001B0525">
      <w:pPr>
        <w:pStyle w:val="NormaleWeb"/>
        <w:shd w:val="clear" w:color="auto" w:fill="FFFFFF"/>
        <w:spacing w:after="105"/>
        <w:jc w:val="both"/>
      </w:pPr>
      <w:r w:rsidRPr="00A014B9">
        <w:rPr>
          <w:bCs/>
        </w:rPr>
        <w:t xml:space="preserve">In Italia, </w:t>
      </w:r>
      <w:r w:rsidRPr="00A014B9">
        <w:t xml:space="preserve">dopo </w:t>
      </w:r>
      <w:proofErr w:type="gramStart"/>
      <w:r w:rsidRPr="00A014B9">
        <w:t>un  calo</w:t>
      </w:r>
      <w:proofErr w:type="gramEnd"/>
      <w:r w:rsidRPr="00A014B9">
        <w:t xml:space="preserve"> del prodotto che  si sarebbe intensificato nel secondo trimestre dove il prodotto interno lordo  è diminuito del 12,8% rispetto al trimestre precedente e del 17,7% nei confronti del secondo trimestre del 2019</w:t>
      </w:r>
      <w:r w:rsidRPr="00A014B9">
        <w:rPr>
          <w:bCs/>
        </w:rPr>
        <w:t>, sono emersi segnali di recupero</w:t>
      </w:r>
      <w:r w:rsidRPr="00A014B9">
        <w:t>.</w:t>
      </w:r>
    </w:p>
    <w:p w:rsidR="001B0525" w:rsidRPr="00A014B9" w:rsidRDefault="001B0525" w:rsidP="001B0525">
      <w:pPr>
        <w:shd w:val="clear" w:color="auto" w:fill="FFFFFF"/>
        <w:spacing w:after="100" w:afterAutospacing="1"/>
      </w:pPr>
      <w:r w:rsidRPr="00A014B9">
        <w:t>La stima preliminare della variazione congiunturale del Pil diffusa dall’ISTAT il 31 luglio 2020 era stata del -12,4% mentre quella tendenziale del -17,3%.</w:t>
      </w:r>
    </w:p>
    <w:p w:rsidR="001B0525" w:rsidRPr="00A014B9" w:rsidRDefault="001B0525" w:rsidP="001B0525">
      <w:pPr>
        <w:pStyle w:val="NormaleWeb"/>
        <w:shd w:val="clear" w:color="auto" w:fill="FFFFFF"/>
        <w:spacing w:after="105"/>
        <w:jc w:val="both"/>
      </w:pPr>
      <w:r w:rsidRPr="00A014B9">
        <w:rPr>
          <w:shd w:val="clear" w:color="auto" w:fill="FFFFFF"/>
        </w:rPr>
        <w:t xml:space="preserve">Si </w:t>
      </w:r>
      <w:proofErr w:type="gramStart"/>
      <w:r w:rsidRPr="00A014B9">
        <w:rPr>
          <w:shd w:val="clear" w:color="auto" w:fill="FFFFFF"/>
        </w:rPr>
        <w:t>registrano  andamenti</w:t>
      </w:r>
      <w:proofErr w:type="gramEnd"/>
      <w:r w:rsidRPr="00A014B9">
        <w:rPr>
          <w:shd w:val="clear" w:color="auto" w:fill="FFFFFF"/>
        </w:rPr>
        <w:t xml:space="preserve"> congiunturali negativi per il valore aggiunto in tutti i principali comparti produttivi, con agricoltura, industria e servizi diminuiti, rispettivamente, del 3,7%, del 20,2% e dell’11%.</w:t>
      </w:r>
    </w:p>
    <w:p w:rsidR="001B0525" w:rsidRPr="006F1718" w:rsidRDefault="001B0525" w:rsidP="006F1718">
      <w:pPr>
        <w:pStyle w:val="NormaleWeb"/>
        <w:shd w:val="clear" w:color="auto" w:fill="FFFFFF"/>
        <w:spacing w:after="105"/>
        <w:jc w:val="both"/>
        <w:rPr>
          <w:rStyle w:val="Enfasigrassetto"/>
          <w:b w:val="0"/>
          <w:bCs w:val="0"/>
        </w:rPr>
      </w:pPr>
      <w:r w:rsidRPr="00A014B9">
        <w:t>Le misure adottate dalla Bce e dal Governo hanno sostenuto il credito alle imprese. La crescita dei prestiti alle società non finanziarie in maggio ha raggiunto l'11,5 per cento (in ragione d'anno sui tre mesi). L’espansione del credito si è estesa alle imprese familiari con la progressiva riduzione dei ritardi nell'implementazione delle misure adottate dal Governo.</w:t>
      </w:r>
    </w:p>
    <w:p w:rsidR="001B0525" w:rsidRPr="00A014B9" w:rsidRDefault="001B0525" w:rsidP="00207A40">
      <w:pPr>
        <w:shd w:val="clear" w:color="auto" w:fill="FFFFFF"/>
        <w:jc w:val="both"/>
        <w:textAlignment w:val="baseline"/>
        <w:rPr>
          <w:rStyle w:val="Enfasigrassetto"/>
          <w:b w:val="0"/>
        </w:rPr>
      </w:pPr>
    </w:p>
    <w:p w:rsidR="00FE316F" w:rsidRPr="006F1718" w:rsidRDefault="00566900" w:rsidP="00FE316F">
      <w:pPr>
        <w:rPr>
          <w:bCs/>
          <w:u w:val="single"/>
        </w:rPr>
      </w:pPr>
      <w:r w:rsidRPr="006F1718">
        <w:rPr>
          <w:rStyle w:val="Enfasigrassetto"/>
          <w:u w:val="single"/>
        </w:rPr>
        <w:t>Mercati finanziari</w:t>
      </w:r>
    </w:p>
    <w:p w:rsidR="0016759F" w:rsidRPr="00A014B9" w:rsidRDefault="0016759F" w:rsidP="0016759F">
      <w:pPr>
        <w:jc w:val="both"/>
      </w:pPr>
      <w:r w:rsidRPr="00A014B9">
        <w:t xml:space="preserve">Le opportunità di investimento per </w:t>
      </w:r>
      <w:proofErr w:type="gramStart"/>
      <w:r w:rsidRPr="00A014B9">
        <w:t>l’anno  2021</w:t>
      </w:r>
      <w:proofErr w:type="gramEnd"/>
      <w:r w:rsidRPr="00A014B9">
        <w:t xml:space="preserve"> dipenderanno fortemente da come i mercati finanziari chiuderanno il 2020 e da quali saranno le evoluzioni della pandemia globale e della disponibilità di un vaccino.</w:t>
      </w:r>
    </w:p>
    <w:p w:rsidR="0016759F" w:rsidRPr="00A014B9" w:rsidRDefault="00A025EA" w:rsidP="0016759F">
      <w:pPr>
        <w:jc w:val="both"/>
      </w:pPr>
      <w:proofErr w:type="gramStart"/>
      <w:r w:rsidRPr="00A014B9">
        <w:t xml:space="preserve">Nella </w:t>
      </w:r>
      <w:r w:rsidR="0016759F" w:rsidRPr="00A014B9">
        <w:t xml:space="preserve"> prospettiva</w:t>
      </w:r>
      <w:proofErr w:type="gramEnd"/>
      <w:r w:rsidR="0016759F" w:rsidRPr="00A014B9">
        <w:t xml:space="preserve"> che la volatilità, attesa in rialzo nei prossimi mesi, in primo luogo in vista delle elezioni americane, non si concretizzi in chiusure d’anno significativamente diverse dai valori attuali</w:t>
      </w:r>
      <w:r w:rsidR="00C16A74" w:rsidRPr="00A014B9">
        <w:t xml:space="preserve">, </w:t>
      </w:r>
      <w:r w:rsidRPr="00A014B9">
        <w:t>è possibile sviluppare le seguenti considerazioni.</w:t>
      </w:r>
    </w:p>
    <w:p w:rsidR="0016759F" w:rsidRPr="00A014B9" w:rsidRDefault="0016759F" w:rsidP="0016759F">
      <w:pPr>
        <w:jc w:val="both"/>
      </w:pPr>
      <w:r w:rsidRPr="00A014B9">
        <w:t xml:space="preserve">Il comparto delle obbligazioni governative non offre un binomio rischio-rendimento attraente nonostante il sicuro supporto delle banche centrali. La sua funzione di diversificazione e protezione del portafoglio è inoltre messa in discussione, con tassi vicini allo </w:t>
      </w:r>
      <w:proofErr w:type="gramStart"/>
      <w:r w:rsidRPr="00A014B9">
        <w:t>zero</w:t>
      </w:r>
      <w:r w:rsidR="00C16A74" w:rsidRPr="00A014B9">
        <w:t xml:space="preserve">, </w:t>
      </w:r>
      <w:r w:rsidRPr="00A014B9">
        <w:t xml:space="preserve"> anche</w:t>
      </w:r>
      <w:proofErr w:type="gramEnd"/>
      <w:r w:rsidRPr="00A014B9">
        <w:t xml:space="preserve"> sul versante americano. Rimangono in relativo più interessanti le versioni indicizzate all’inflazione, che proteggono da un rischio attualmente poco prezzato dal mercato.</w:t>
      </w:r>
    </w:p>
    <w:p w:rsidR="0016759F" w:rsidRPr="00A014B9" w:rsidRDefault="0016759F" w:rsidP="0016759F">
      <w:pPr>
        <w:jc w:val="both"/>
      </w:pPr>
      <w:r w:rsidRPr="00A014B9">
        <w:lastRenderedPageBreak/>
        <w:t>Le obbligazioni societarie di maggior merito creditizio presentano rendimenti limitati dopo il forte recupero. Anche qui, grazie al supporto delle banche centrali non soffrono per ora gli incrementi di volatilità, ma non paiono certamente in grado di dare un contributo diverso dall’impiego della liquidità. Maggiori rendimenti attesi hanno certamente le versioni a più basso merito creditizio che però, in un contesto di massima incertezza, devono rimanere in quote non elevate, concentrate su prodotti diversificati e su comparti supportati dagli enti pubblici come quello bancario. L’incremento atteso dei tassi di insolvenza del comparto societario ad alto rendimento rimane uno dei rischi da evitare per i prossimi mesi.</w:t>
      </w:r>
    </w:p>
    <w:p w:rsidR="0016759F" w:rsidRPr="00A014B9" w:rsidRDefault="0016759F" w:rsidP="0016759F">
      <w:pPr>
        <w:jc w:val="both"/>
      </w:pPr>
      <w:r w:rsidRPr="00A014B9">
        <w:t>Le residue opportunità per la generazione di rendimento cedolare con livelli di rischio sotto controllo, risiedono al momento nell’area asiatica, dove la ripresa dalla pandemia è iniziata prima e sembra poter godere di maggiore solidità.</w:t>
      </w:r>
    </w:p>
    <w:p w:rsidR="0016759F" w:rsidRPr="00A014B9" w:rsidRDefault="0016759F" w:rsidP="00A025EA">
      <w:pPr>
        <w:jc w:val="both"/>
      </w:pPr>
      <w:r w:rsidRPr="00A014B9">
        <w:t xml:space="preserve">Le prospettive dei mercati azionari sono quanto mai incerte, ma i modelli di medio periodo li valutano ancora convenienti in relativo rispetto alle obbligazioni. Una previsione sulla dinamica di breve è quanto mai complessa e potrà essere più affidabile solo </w:t>
      </w:r>
      <w:r w:rsidR="00A025EA" w:rsidRPr="00A014B9">
        <w:t>dopo l’esito delle elezioni americane</w:t>
      </w:r>
      <w:r w:rsidRPr="00A014B9">
        <w:t xml:space="preserve"> e se un vaccino sarà effettivamente disponibile. </w:t>
      </w:r>
    </w:p>
    <w:p w:rsidR="000E2C18" w:rsidRPr="00A014B9" w:rsidRDefault="000E2C18" w:rsidP="00E36136">
      <w:pPr>
        <w:rPr>
          <w:rStyle w:val="Enfasigrassetto"/>
          <w:b w:val="0"/>
          <w:bCs w:val="0"/>
        </w:rPr>
      </w:pPr>
    </w:p>
    <w:p w:rsidR="00740489" w:rsidRPr="00A014B9" w:rsidRDefault="00740489" w:rsidP="00E36136">
      <w:pPr>
        <w:rPr>
          <w:rStyle w:val="Enfasigrassetto"/>
          <w:b w:val="0"/>
        </w:rPr>
      </w:pPr>
    </w:p>
    <w:p w:rsidR="00657B99" w:rsidRPr="006F1718" w:rsidRDefault="00566900" w:rsidP="00566900">
      <w:pPr>
        <w:jc w:val="both"/>
        <w:rPr>
          <w:b/>
          <w:bCs/>
          <w:u w:val="single"/>
        </w:rPr>
      </w:pPr>
      <w:r w:rsidRPr="006F1718">
        <w:rPr>
          <w:b/>
          <w:bCs/>
          <w:u w:val="single"/>
        </w:rPr>
        <w:t>Criteri per la gestione delle risorse patrimoniali</w:t>
      </w:r>
    </w:p>
    <w:p w:rsidR="005E0578" w:rsidRPr="00A014B9" w:rsidRDefault="005E0578" w:rsidP="005E0578">
      <w:pPr>
        <w:tabs>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bookmarkStart w:id="1" w:name="_Hlk52273334"/>
      <w:proofErr w:type="gramStart"/>
      <w:r w:rsidRPr="00A014B9">
        <w:t>Vige  il</w:t>
      </w:r>
      <w:proofErr w:type="gramEnd"/>
      <w:r w:rsidRPr="00A014B9">
        <w:t xml:space="preserve"> pieno rispetto delle norme e  degli adempimenti  previsti  in materia  dal Protocollo ACRI-</w:t>
      </w:r>
      <w:proofErr w:type="spellStart"/>
      <w:r w:rsidRPr="00A014B9">
        <w:t>Mef</w:t>
      </w:r>
      <w:proofErr w:type="spellEnd"/>
      <w:r w:rsidRPr="00A014B9">
        <w:t xml:space="preserve"> del 22/4/2015 recepiti nello statuto e nei regolamenti dell’Ente.</w:t>
      </w:r>
    </w:p>
    <w:p w:rsidR="005E0578" w:rsidRPr="00A014B9" w:rsidRDefault="005E0578" w:rsidP="00570E99">
      <w:pPr>
        <w:jc w:val="both"/>
      </w:pPr>
    </w:p>
    <w:p w:rsidR="00570E99" w:rsidRPr="00A014B9" w:rsidRDefault="00570E99" w:rsidP="00570E99">
      <w:pPr>
        <w:jc w:val="both"/>
      </w:pPr>
      <w:r w:rsidRPr="00A014B9">
        <w:t xml:space="preserve">Resta </w:t>
      </w:r>
      <w:proofErr w:type="gramStart"/>
      <w:r w:rsidRPr="00A014B9">
        <w:t xml:space="preserve">confermata </w:t>
      </w:r>
      <w:r w:rsidR="005A387E" w:rsidRPr="00A014B9">
        <w:t xml:space="preserve"> </w:t>
      </w:r>
      <w:r w:rsidRPr="00A014B9">
        <w:t>l’adozione</w:t>
      </w:r>
      <w:proofErr w:type="gramEnd"/>
      <w:r w:rsidRPr="00A014B9">
        <w:t xml:space="preserve">  di criteri  prudenziali, conformemente a quelli già  assunti  negli esercizi precedenti, con l’obiettivo di assicurare in primo luogo la conservazione del valore economico del patrimonio  e di ricavare  un rendimento possibilmente stabile,  secondo  un orizzonte di medio periodo, adeguato a sostenere con un’attiva politica di interventi   le aspettative  della Comunità locale nel suo insieme .</w:t>
      </w:r>
    </w:p>
    <w:p w:rsidR="00566900" w:rsidRPr="00A014B9" w:rsidRDefault="00566900" w:rsidP="00566900">
      <w:pPr>
        <w:jc w:val="both"/>
        <w:rPr>
          <w:bCs/>
          <w:iCs/>
        </w:rPr>
      </w:pPr>
    </w:p>
    <w:p w:rsidR="002070E0" w:rsidRPr="00A014B9" w:rsidRDefault="002070E0" w:rsidP="00566900">
      <w:pPr>
        <w:jc w:val="both"/>
        <w:rPr>
          <w:bCs/>
          <w:iCs/>
        </w:rPr>
      </w:pPr>
    </w:p>
    <w:p w:rsidR="005E0578" w:rsidRPr="006F1718" w:rsidRDefault="00311C31" w:rsidP="00181463">
      <w:pPr>
        <w:jc w:val="both"/>
        <w:rPr>
          <w:b/>
          <w:bCs/>
          <w:iCs/>
          <w:u w:val="single"/>
        </w:rPr>
      </w:pPr>
      <w:r w:rsidRPr="006F1718">
        <w:rPr>
          <w:b/>
          <w:bCs/>
          <w:iCs/>
          <w:u w:val="single"/>
        </w:rPr>
        <w:t>G</w:t>
      </w:r>
      <w:r w:rsidR="00566900" w:rsidRPr="006F1718">
        <w:rPr>
          <w:b/>
          <w:bCs/>
          <w:iCs/>
          <w:u w:val="single"/>
        </w:rPr>
        <w:t xml:space="preserve">estione </w:t>
      </w:r>
      <w:proofErr w:type="gramStart"/>
      <w:r w:rsidR="00566900" w:rsidRPr="006F1718">
        <w:rPr>
          <w:b/>
          <w:bCs/>
          <w:iCs/>
          <w:u w:val="single"/>
        </w:rPr>
        <w:t>delle  risorse</w:t>
      </w:r>
      <w:proofErr w:type="gramEnd"/>
      <w:r w:rsidR="00566900" w:rsidRPr="006F1718">
        <w:rPr>
          <w:b/>
          <w:bCs/>
          <w:iCs/>
          <w:u w:val="single"/>
        </w:rPr>
        <w:t xml:space="preserve"> patrimoniali</w:t>
      </w:r>
    </w:p>
    <w:p w:rsidR="00205AB6" w:rsidRPr="00A014B9" w:rsidRDefault="004F10B4" w:rsidP="00205AB6">
      <w:pPr>
        <w:tabs>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A014B9">
        <w:rPr>
          <w:bCs/>
        </w:rPr>
        <w:t>P</w:t>
      </w:r>
      <w:r w:rsidR="00EA3E87" w:rsidRPr="00A014B9">
        <w:rPr>
          <w:bCs/>
        </w:rPr>
        <w:t xml:space="preserve">er </w:t>
      </w:r>
      <w:r w:rsidR="00205AB6" w:rsidRPr="00A014B9">
        <w:rPr>
          <w:bCs/>
        </w:rPr>
        <w:t>la gestione delle risorse patrimoniali</w:t>
      </w:r>
      <w:r w:rsidR="00205AB6" w:rsidRPr="00A014B9">
        <w:t xml:space="preserve"> vale quanto </w:t>
      </w:r>
      <w:proofErr w:type="gramStart"/>
      <w:r w:rsidR="00205AB6" w:rsidRPr="00A014B9">
        <w:t>stabilito  dal</w:t>
      </w:r>
      <w:proofErr w:type="gramEnd"/>
      <w:r w:rsidR="00205AB6" w:rsidRPr="00A014B9">
        <w:t xml:space="preserve"> Consiglio di Indirizzo con la fondamentale determinazione del 18 aprile 2001, via via adeguata nei suoi contenuti di aggiornamento fino alla ultima  de</w:t>
      </w:r>
      <w:r w:rsidR="008A53F8" w:rsidRPr="00A014B9">
        <w:t>liberazione del 13 marzo 2019.</w:t>
      </w:r>
      <w:r w:rsidR="00205AB6" w:rsidRPr="00A014B9">
        <w:t xml:space="preserve">  </w:t>
      </w:r>
    </w:p>
    <w:p w:rsidR="0013155F" w:rsidRPr="00A014B9" w:rsidRDefault="0013155F" w:rsidP="003347B8">
      <w:pPr>
        <w:pStyle w:val="Pidipagina"/>
        <w:jc w:val="both"/>
      </w:pPr>
    </w:p>
    <w:p w:rsidR="005E0578" w:rsidRPr="00A014B9" w:rsidRDefault="00EA3E87" w:rsidP="00634957">
      <w:pPr>
        <w:spacing w:before="100" w:beforeAutospacing="1" w:after="120"/>
        <w:jc w:val="both"/>
      </w:pPr>
      <w:r w:rsidRPr="00A014B9">
        <w:t>Gli organi   della Fondazione sono supportati nell</w:t>
      </w:r>
      <w:r w:rsidR="005E0578" w:rsidRPr="00A014B9">
        <w:t xml:space="preserve">’attività di </w:t>
      </w:r>
      <w:proofErr w:type="gramStart"/>
      <w:r w:rsidR="005E0578" w:rsidRPr="00A014B9">
        <w:t>gestione  delle</w:t>
      </w:r>
      <w:proofErr w:type="gramEnd"/>
      <w:r w:rsidR="005E0578" w:rsidRPr="00A014B9">
        <w:t xml:space="preserve"> risorse patrimoniali da un servizio di </w:t>
      </w:r>
      <w:proofErr w:type="spellStart"/>
      <w:r w:rsidR="005E0578" w:rsidRPr="00A014B9">
        <w:t>advasory</w:t>
      </w:r>
      <w:proofErr w:type="spellEnd"/>
      <w:r w:rsidR="005E0578" w:rsidRPr="00A014B9">
        <w:t xml:space="preserve"> finalizzato   alla ottimizzazione della strategia di investimento e della definizione della conseguente asset allocation strategica.</w:t>
      </w:r>
      <w:r w:rsidR="008A53F8" w:rsidRPr="00A014B9">
        <w:t xml:space="preserve"> Con </w:t>
      </w:r>
      <w:proofErr w:type="gramStart"/>
      <w:r w:rsidR="008A53F8" w:rsidRPr="00A014B9">
        <w:t>esso  v</w:t>
      </w:r>
      <w:r w:rsidR="005E0578" w:rsidRPr="00A014B9">
        <w:t>iene</w:t>
      </w:r>
      <w:proofErr w:type="gramEnd"/>
      <w:r w:rsidR="005E0578" w:rsidRPr="00A014B9">
        <w:t xml:space="preserve"> assicurato   il  continuo  controllo della stessa in relazione agli andamenti macro e dei mercati    finanziari oltreché di  particolari eventi rispetto agli obiettivi prefissati. </w:t>
      </w:r>
      <w:r w:rsidR="008A53F8" w:rsidRPr="00A014B9">
        <w:t xml:space="preserve">Vi è inoltre compresa </w:t>
      </w:r>
      <w:r w:rsidR="005E0578" w:rsidRPr="00A014B9">
        <w:t xml:space="preserve">la valutazione e verifica   </w:t>
      </w:r>
      <w:proofErr w:type="gramStart"/>
      <w:r w:rsidR="005E0578" w:rsidRPr="00A014B9">
        <w:t>dei  portafogli</w:t>
      </w:r>
      <w:proofErr w:type="gramEnd"/>
      <w:r w:rsidR="005E0578" w:rsidRPr="00A014B9">
        <w:t xml:space="preserve"> in gestione   con il  monitoraggio del rischio, delle misure di efficienza e del livello dei costi.  </w:t>
      </w:r>
    </w:p>
    <w:p w:rsidR="007D663F" w:rsidRPr="00A014B9" w:rsidRDefault="00F057CB" w:rsidP="007D663F">
      <w:pPr>
        <w:pStyle w:val="Pidipagina"/>
        <w:jc w:val="both"/>
      </w:pPr>
      <w:r w:rsidRPr="00A014B9">
        <w:t xml:space="preserve">L’impostazione prevede </w:t>
      </w:r>
      <w:r w:rsidR="007D663F" w:rsidRPr="00A014B9">
        <w:t xml:space="preserve">una opportuna diversificazione degli attivi al fine di contenere i rischi di investimento a fronte del comportamento dei mercati e degli obiettivi di rendimento previsti, </w:t>
      </w:r>
      <w:proofErr w:type="gramStart"/>
      <w:r w:rsidR="007D663F" w:rsidRPr="00A014B9">
        <w:t>con  una</w:t>
      </w:r>
      <w:proofErr w:type="gramEnd"/>
      <w:r w:rsidR="007D663F" w:rsidRPr="00A014B9">
        <w:t xml:space="preserve"> particolare attenzione nel   contenimento dei costi.</w:t>
      </w:r>
    </w:p>
    <w:p w:rsidR="007D663F" w:rsidRPr="00A014B9" w:rsidRDefault="007D663F" w:rsidP="003347B8">
      <w:pPr>
        <w:pStyle w:val="Pidipagina"/>
        <w:jc w:val="both"/>
      </w:pPr>
    </w:p>
    <w:p w:rsidR="00001BBA" w:rsidRPr="00A014B9" w:rsidRDefault="00001BBA" w:rsidP="00001BBA">
      <w:pPr>
        <w:pStyle w:val="Default"/>
        <w:jc w:val="both"/>
      </w:pPr>
      <w:r w:rsidRPr="00A014B9">
        <w:t>I portafogl</w:t>
      </w:r>
      <w:r w:rsidR="007F7B27" w:rsidRPr="00A014B9">
        <w:t>i</w:t>
      </w:r>
      <w:r w:rsidRPr="00A014B9">
        <w:t xml:space="preserve"> investiti risultano ripartiti in due componenti principali: </w:t>
      </w:r>
    </w:p>
    <w:p w:rsidR="003308BB" w:rsidRPr="00A014B9" w:rsidRDefault="003308BB" w:rsidP="003308BB">
      <w:pPr>
        <w:pStyle w:val="Delibera"/>
        <w:numPr>
          <w:ilvl w:val="0"/>
          <w:numId w:val="25"/>
        </w:numPr>
        <w:tabs>
          <w:tab w:val="clear" w:pos="567"/>
        </w:tabs>
        <w:spacing w:line="240" w:lineRule="auto"/>
        <w:rPr>
          <w:szCs w:val="24"/>
        </w:rPr>
      </w:pPr>
      <w:r w:rsidRPr="00A014B9">
        <w:rPr>
          <w:u w:val="single"/>
        </w:rPr>
        <w:t>I</w:t>
      </w:r>
      <w:r w:rsidR="00001BBA" w:rsidRPr="00A014B9">
        <w:rPr>
          <w:u w:val="single"/>
        </w:rPr>
        <w:t xml:space="preserve">mmobilizzata </w:t>
      </w:r>
      <w:r w:rsidR="00001BBA" w:rsidRPr="00A014B9">
        <w:rPr>
          <w:bCs/>
        </w:rPr>
        <w:t>di circa 18,8 milioni di euro</w:t>
      </w:r>
      <w:r w:rsidR="00001BBA" w:rsidRPr="00A014B9">
        <w:t xml:space="preserve"> rappresentata dalla partecipazione in C</w:t>
      </w:r>
      <w:r w:rsidR="00EA3E87" w:rsidRPr="00A014B9">
        <w:t xml:space="preserve">assa </w:t>
      </w:r>
      <w:r w:rsidR="00001BBA" w:rsidRPr="00A014B9">
        <w:lastRenderedPageBreak/>
        <w:t>D</w:t>
      </w:r>
      <w:r w:rsidR="00EA3E87" w:rsidRPr="00A014B9">
        <w:t xml:space="preserve">epositi e </w:t>
      </w:r>
      <w:r w:rsidR="00001BBA" w:rsidRPr="00A014B9">
        <w:t>P</w:t>
      </w:r>
      <w:r w:rsidR="00EA3E87" w:rsidRPr="00A014B9">
        <w:t>restiti</w:t>
      </w:r>
      <w:r w:rsidR="00001BBA" w:rsidRPr="00A014B9">
        <w:t xml:space="preserve"> </w:t>
      </w:r>
      <w:proofErr w:type="spellStart"/>
      <w:r w:rsidR="00EA3E87" w:rsidRPr="00A014B9">
        <w:t>SpA</w:t>
      </w:r>
      <w:proofErr w:type="spellEnd"/>
      <w:r w:rsidR="00EA3E87" w:rsidRPr="00A014B9">
        <w:t xml:space="preserve">, in due Polizze Assicurative AVIVA </w:t>
      </w:r>
      <w:proofErr w:type="gramStart"/>
      <w:r w:rsidR="00EA3E87" w:rsidRPr="00A014B9">
        <w:t xml:space="preserve">e  </w:t>
      </w:r>
      <w:r w:rsidR="00001BBA" w:rsidRPr="00A014B9">
        <w:t>i</w:t>
      </w:r>
      <w:r w:rsidR="00EA3E87" w:rsidRPr="00A014B9">
        <w:t>n</w:t>
      </w:r>
      <w:proofErr w:type="gramEnd"/>
      <w:r w:rsidR="00001BBA" w:rsidRPr="00A014B9">
        <w:t xml:space="preserve"> strumenti investiti all’interno di un conto amministrato</w:t>
      </w:r>
      <w:r w:rsidRPr="00A014B9">
        <w:t xml:space="preserve">: questo </w:t>
      </w:r>
      <w:r w:rsidR="00C16A74" w:rsidRPr="00A014B9">
        <w:t>ultimo</w:t>
      </w:r>
      <w:r w:rsidRPr="00A014B9">
        <w:t xml:space="preserve"> portafoglio</w:t>
      </w:r>
      <w:r w:rsidR="00C16A74" w:rsidRPr="00A014B9">
        <w:t xml:space="preserve"> </w:t>
      </w:r>
      <w:r w:rsidR="00C16A74" w:rsidRPr="00A014B9">
        <w:rPr>
          <w:bCs/>
        </w:rPr>
        <w:t>pari a  circa 13,2 milioni di euro</w:t>
      </w:r>
      <w:r w:rsidRPr="00A014B9">
        <w:t xml:space="preserve">  ha un  orizzonte temporale di 3/5 anni e  un  duplice obiettivo: assicurare  un adeguato  e costante flusso di cedole\dividendi e  non sottoporre  alla volatilità dei mercati  le valutazioni del portafoglio stesso</w:t>
      </w:r>
      <w:r w:rsidRPr="00A014B9">
        <w:rPr>
          <w:szCs w:val="24"/>
        </w:rPr>
        <w:t>. Il 91% d</w:t>
      </w:r>
      <w:r w:rsidR="004F10B4" w:rsidRPr="00A014B9">
        <w:rPr>
          <w:szCs w:val="24"/>
        </w:rPr>
        <w:t xml:space="preserve">i questo </w:t>
      </w:r>
      <w:r w:rsidRPr="00A014B9">
        <w:rPr>
          <w:szCs w:val="24"/>
        </w:rPr>
        <w:t xml:space="preserve">portafoglio </w:t>
      </w:r>
      <w:proofErr w:type="gramStart"/>
      <w:r w:rsidRPr="00A014B9">
        <w:rPr>
          <w:szCs w:val="24"/>
        </w:rPr>
        <w:t>è  a</w:t>
      </w:r>
      <w:proofErr w:type="gramEnd"/>
      <w:r w:rsidRPr="00A014B9">
        <w:rPr>
          <w:szCs w:val="24"/>
        </w:rPr>
        <w:t xml:space="preserve"> distribuzione il restante 9% a</w:t>
      </w:r>
      <w:r w:rsidR="00A569DA" w:rsidRPr="00A014B9">
        <w:rPr>
          <w:szCs w:val="24"/>
        </w:rPr>
        <w:t>d</w:t>
      </w:r>
      <w:r w:rsidRPr="00A014B9">
        <w:rPr>
          <w:szCs w:val="24"/>
        </w:rPr>
        <w:t xml:space="preserve"> accumulazione.</w:t>
      </w:r>
    </w:p>
    <w:p w:rsidR="00001BBA" w:rsidRPr="00A014B9" w:rsidRDefault="00001BBA" w:rsidP="00001BBA">
      <w:pPr>
        <w:pStyle w:val="Default"/>
        <w:jc w:val="both"/>
      </w:pPr>
    </w:p>
    <w:p w:rsidR="007F7B27" w:rsidRPr="00A014B9" w:rsidRDefault="003308BB" w:rsidP="003308BB">
      <w:pPr>
        <w:pStyle w:val="Pidipagina"/>
        <w:numPr>
          <w:ilvl w:val="0"/>
          <w:numId w:val="25"/>
        </w:numPr>
        <w:jc w:val="both"/>
      </w:pPr>
      <w:r w:rsidRPr="00A014B9">
        <w:rPr>
          <w:u w:val="single"/>
        </w:rPr>
        <w:t>L</w:t>
      </w:r>
      <w:r w:rsidR="00001BBA" w:rsidRPr="00A014B9">
        <w:rPr>
          <w:u w:val="single"/>
        </w:rPr>
        <w:t>ibera</w:t>
      </w:r>
      <w:r w:rsidR="00001BBA" w:rsidRPr="00A014B9">
        <w:t xml:space="preserve"> di circa 26,7 milioni di </w:t>
      </w:r>
      <w:proofErr w:type="gramStart"/>
      <w:r w:rsidR="00001BBA" w:rsidRPr="00A014B9">
        <w:t xml:space="preserve">euro </w:t>
      </w:r>
      <w:r w:rsidR="007F7B27" w:rsidRPr="00A014B9">
        <w:t xml:space="preserve"> </w:t>
      </w:r>
      <w:r w:rsidR="00001BBA" w:rsidRPr="00A014B9">
        <w:t>rappresentata</w:t>
      </w:r>
      <w:proofErr w:type="gramEnd"/>
      <w:r w:rsidR="00001BBA" w:rsidRPr="00A014B9">
        <w:t xml:space="preserve"> dalle tre gestioni Banca Profilo, Eurizon e Banca Generali ( gi</w:t>
      </w:r>
      <w:r w:rsidR="00EA3E87" w:rsidRPr="00A014B9">
        <w:t>à</w:t>
      </w:r>
      <w:r w:rsidR="00001BBA" w:rsidRPr="00A014B9">
        <w:t xml:space="preserve"> </w:t>
      </w:r>
      <w:proofErr w:type="spellStart"/>
      <w:r w:rsidR="00001BBA" w:rsidRPr="00A014B9">
        <w:t>Nextam</w:t>
      </w:r>
      <w:proofErr w:type="spellEnd"/>
      <w:r w:rsidR="00001BBA" w:rsidRPr="00A014B9">
        <w:t xml:space="preserve"> Partners</w:t>
      </w:r>
      <w:r w:rsidR="00B7050A" w:rsidRPr="00A014B9">
        <w:t xml:space="preserve"> SGR </w:t>
      </w:r>
      <w:r w:rsidR="00001BBA" w:rsidRPr="00A014B9">
        <w:t xml:space="preserve">) con </w:t>
      </w:r>
      <w:r w:rsidR="007F7B27" w:rsidRPr="00A014B9">
        <w:t xml:space="preserve">  mandati di gestione patrimoniale in titoli mobiliari secondo orizzonti temporali di medio periodo  con una propensione al rischio medio/bassa. I mandati di </w:t>
      </w:r>
      <w:proofErr w:type="gramStart"/>
      <w:r w:rsidR="007F7B27" w:rsidRPr="00A014B9">
        <w:t xml:space="preserve">gestione </w:t>
      </w:r>
      <w:r w:rsidR="00EA3E87" w:rsidRPr="00A014B9">
        <w:t xml:space="preserve"> prevedono</w:t>
      </w:r>
      <w:proofErr w:type="gramEnd"/>
      <w:r w:rsidR="00EA3E87" w:rsidRPr="00A014B9">
        <w:t xml:space="preserve"> </w:t>
      </w:r>
      <w:r w:rsidR="007F7B27" w:rsidRPr="00A014B9">
        <w:t>una  opportuna diversificazione al fine di contenere i rischi di investimento a fronte del comportamento dei mercati e degli obiettivi di rendimento previsti, con  una particolare attenzione nel   contenimento dei costi.</w:t>
      </w:r>
    </w:p>
    <w:p w:rsidR="00C11175" w:rsidRPr="00A014B9" w:rsidRDefault="00C11175" w:rsidP="00A6720B">
      <w:pPr>
        <w:pStyle w:val="PreformattatoHTML"/>
        <w:jc w:val="both"/>
        <w:rPr>
          <w:rFonts w:ascii="Times New Roman" w:hAnsi="Times New Roman" w:cs="Times New Roman"/>
          <w:sz w:val="24"/>
          <w:szCs w:val="24"/>
        </w:rPr>
      </w:pPr>
    </w:p>
    <w:p w:rsidR="00EA3E87" w:rsidRPr="00A014B9" w:rsidRDefault="003308BB" w:rsidP="00A569DA">
      <w:pPr>
        <w:pStyle w:val="PreformattatoHTML"/>
        <w:jc w:val="both"/>
        <w:rPr>
          <w:rFonts w:ascii="Times New Roman" w:hAnsi="Times New Roman" w:cs="Times New Roman"/>
          <w:sz w:val="24"/>
          <w:szCs w:val="24"/>
        </w:rPr>
      </w:pPr>
      <w:r w:rsidRPr="00A014B9">
        <w:rPr>
          <w:rFonts w:ascii="Times New Roman" w:hAnsi="Times New Roman" w:cs="Times New Roman"/>
          <w:sz w:val="24"/>
          <w:szCs w:val="24"/>
        </w:rPr>
        <w:t>La percentuale di composizione degli asset è la seguente</w:t>
      </w:r>
      <w:r w:rsidR="00EA3E87" w:rsidRPr="00A014B9">
        <w:rPr>
          <w:rFonts w:ascii="Times New Roman" w:eastAsia="Book Antiqua" w:hAnsi="Times New Roman" w:cs="Times New Roman"/>
          <w:sz w:val="24"/>
          <w:szCs w:val="24"/>
        </w:rPr>
        <w:t xml:space="preserve"> </w:t>
      </w:r>
      <w:r w:rsidR="00425FA0" w:rsidRPr="00A014B9">
        <w:rPr>
          <w:rFonts w:ascii="Times New Roman" w:eastAsia="Book Antiqua" w:hAnsi="Times New Roman" w:cs="Times New Roman"/>
          <w:sz w:val="24"/>
          <w:szCs w:val="24"/>
        </w:rPr>
        <w:t xml:space="preserve">(al </w:t>
      </w:r>
      <w:r w:rsidR="00EA3E87" w:rsidRPr="00A014B9">
        <w:rPr>
          <w:rFonts w:ascii="Times New Roman" w:eastAsia="Book Antiqua" w:hAnsi="Times New Roman" w:cs="Times New Roman"/>
          <w:sz w:val="24"/>
          <w:szCs w:val="24"/>
        </w:rPr>
        <w:t>31 agosto 2020</w:t>
      </w:r>
      <w:r w:rsidR="00425FA0" w:rsidRPr="00A014B9">
        <w:rPr>
          <w:rFonts w:ascii="Times New Roman" w:eastAsia="Book Antiqua" w:hAnsi="Times New Roman" w:cs="Times New Roman"/>
          <w:sz w:val="24"/>
          <w:szCs w:val="24"/>
        </w:rPr>
        <w:t>)</w:t>
      </w:r>
      <w:r w:rsidR="00A569DA" w:rsidRPr="00A014B9">
        <w:rPr>
          <w:rFonts w:ascii="Times New Roman" w:eastAsia="Book Antiqua" w:hAnsi="Times New Roman" w:cs="Times New Roman"/>
          <w:sz w:val="24"/>
          <w:szCs w:val="24"/>
        </w:rPr>
        <w:t>:</w:t>
      </w:r>
    </w:p>
    <w:p w:rsidR="00A569DA" w:rsidRPr="00A014B9" w:rsidRDefault="00A569DA" w:rsidP="003308BB">
      <w:pPr>
        <w:spacing w:line="259" w:lineRule="auto"/>
      </w:pPr>
    </w:p>
    <w:tbl>
      <w:tblPr>
        <w:tblStyle w:val="TableGrid"/>
        <w:tblW w:w="524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7" w:type="dxa"/>
          <w:right w:w="86" w:type="dxa"/>
        </w:tblCellMar>
        <w:tblLook w:val="04A0" w:firstRow="1" w:lastRow="0" w:firstColumn="1" w:lastColumn="0" w:noHBand="0" w:noVBand="1"/>
      </w:tblPr>
      <w:tblGrid>
        <w:gridCol w:w="2827"/>
        <w:gridCol w:w="1279"/>
        <w:gridCol w:w="1135"/>
      </w:tblGrid>
      <w:tr w:rsidR="003308BB" w:rsidRPr="00A014B9" w:rsidTr="00634957">
        <w:trPr>
          <w:trHeight w:hRule="exact" w:val="340"/>
        </w:trPr>
        <w:tc>
          <w:tcPr>
            <w:tcW w:w="2827" w:type="dxa"/>
            <w:shd w:val="clear" w:color="auto" w:fill="auto"/>
          </w:tcPr>
          <w:p w:rsidR="00EA3E87" w:rsidRPr="00A014B9" w:rsidRDefault="00EA3E87" w:rsidP="00634957">
            <w:pPr>
              <w:spacing w:line="259" w:lineRule="auto"/>
              <w:ind w:right="44" w:firstLine="134"/>
              <w:rPr>
                <w:sz w:val="20"/>
                <w:szCs w:val="20"/>
              </w:rPr>
            </w:pPr>
            <w:r w:rsidRPr="00A014B9">
              <w:rPr>
                <w:rFonts w:eastAsia="Book Antiqua"/>
                <w:sz w:val="20"/>
                <w:szCs w:val="20"/>
              </w:rPr>
              <w:t>Descrizione</w:t>
            </w:r>
          </w:p>
        </w:tc>
        <w:tc>
          <w:tcPr>
            <w:tcW w:w="1279" w:type="dxa"/>
            <w:shd w:val="clear" w:color="auto" w:fill="auto"/>
          </w:tcPr>
          <w:p w:rsidR="00EA3E87" w:rsidRPr="00A014B9" w:rsidRDefault="003308BB" w:rsidP="00C00CDB">
            <w:pPr>
              <w:spacing w:line="259" w:lineRule="auto"/>
              <w:jc w:val="center"/>
              <w:rPr>
                <w:sz w:val="20"/>
                <w:szCs w:val="20"/>
              </w:rPr>
            </w:pPr>
            <w:r w:rsidRPr="00A014B9">
              <w:rPr>
                <w:rFonts w:eastAsia="Book Antiqua"/>
                <w:sz w:val="20"/>
                <w:szCs w:val="20"/>
              </w:rPr>
              <w:t xml:space="preserve">         </w:t>
            </w:r>
            <w:proofErr w:type="spellStart"/>
            <w:r w:rsidR="00EA3E87" w:rsidRPr="00A014B9">
              <w:rPr>
                <w:rFonts w:eastAsia="Book Antiqua"/>
                <w:sz w:val="20"/>
                <w:szCs w:val="20"/>
              </w:rPr>
              <w:t>Ctv</w:t>
            </w:r>
            <w:proofErr w:type="spellEnd"/>
          </w:p>
        </w:tc>
        <w:tc>
          <w:tcPr>
            <w:tcW w:w="1135" w:type="dxa"/>
            <w:shd w:val="clear" w:color="auto" w:fill="auto"/>
          </w:tcPr>
          <w:p w:rsidR="00EA3E87" w:rsidRPr="00A014B9" w:rsidRDefault="003308BB" w:rsidP="00C00CDB">
            <w:pPr>
              <w:spacing w:line="259" w:lineRule="auto"/>
              <w:ind w:left="-3" w:right="52" w:firstLine="3"/>
              <w:jc w:val="center"/>
              <w:rPr>
                <w:sz w:val="20"/>
                <w:szCs w:val="20"/>
              </w:rPr>
            </w:pPr>
            <w:r w:rsidRPr="00A014B9">
              <w:rPr>
                <w:rFonts w:eastAsia="Book Antiqua"/>
                <w:sz w:val="20"/>
                <w:szCs w:val="20"/>
              </w:rPr>
              <w:t xml:space="preserve">  </w:t>
            </w:r>
            <w:proofErr w:type="spellStart"/>
            <w:r w:rsidR="00EA3E87" w:rsidRPr="00A014B9">
              <w:rPr>
                <w:rFonts w:eastAsia="Book Antiqua"/>
                <w:sz w:val="20"/>
                <w:szCs w:val="20"/>
              </w:rPr>
              <w:t>Ptf</w:t>
            </w:r>
            <w:proofErr w:type="spellEnd"/>
            <w:r w:rsidR="00EA3E87" w:rsidRPr="00A014B9">
              <w:rPr>
                <w:rFonts w:eastAsia="Book Antiqua"/>
                <w:sz w:val="20"/>
                <w:szCs w:val="20"/>
              </w:rPr>
              <w:t xml:space="preserve"> %</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firstLine="134"/>
              <w:rPr>
                <w:sz w:val="20"/>
                <w:szCs w:val="20"/>
                <w:u w:val="single"/>
              </w:rPr>
            </w:pPr>
            <w:r w:rsidRPr="00A014B9">
              <w:rPr>
                <w:rFonts w:eastAsia="Book Antiqua"/>
                <w:sz w:val="20"/>
                <w:szCs w:val="20"/>
                <w:u w:val="single"/>
              </w:rPr>
              <w:t>Portafoglio Libero</w:t>
            </w:r>
          </w:p>
        </w:tc>
        <w:tc>
          <w:tcPr>
            <w:tcW w:w="1279" w:type="dxa"/>
            <w:shd w:val="clear" w:color="auto" w:fill="auto"/>
          </w:tcPr>
          <w:p w:rsidR="00EA3E87" w:rsidRPr="00A014B9" w:rsidRDefault="00EA3E87" w:rsidP="00A569DA">
            <w:pPr>
              <w:spacing w:line="259" w:lineRule="auto"/>
              <w:jc w:val="right"/>
              <w:rPr>
                <w:sz w:val="20"/>
                <w:szCs w:val="20"/>
              </w:rPr>
            </w:pPr>
            <w:r w:rsidRPr="00A014B9">
              <w:rPr>
                <w:rFonts w:eastAsia="Book Antiqua"/>
                <w:sz w:val="20"/>
                <w:szCs w:val="20"/>
              </w:rPr>
              <w:t>26</w:t>
            </w:r>
            <w:r w:rsidR="00C11175" w:rsidRPr="00A014B9">
              <w:rPr>
                <w:rFonts w:eastAsia="Book Antiqua"/>
                <w:sz w:val="20"/>
                <w:szCs w:val="20"/>
              </w:rPr>
              <w:t>.</w:t>
            </w:r>
            <w:r w:rsidRPr="00A014B9">
              <w:rPr>
                <w:rFonts w:eastAsia="Book Antiqua"/>
                <w:sz w:val="20"/>
                <w:szCs w:val="20"/>
              </w:rPr>
              <w:t>738</w:t>
            </w:r>
            <w:r w:rsidR="00C11175" w:rsidRPr="00A014B9">
              <w:rPr>
                <w:rFonts w:eastAsia="Book Antiqua"/>
                <w:sz w:val="20"/>
                <w:szCs w:val="20"/>
              </w:rPr>
              <w:t>.</w:t>
            </w:r>
            <w:r w:rsidRPr="00A014B9">
              <w:rPr>
                <w:rFonts w:eastAsia="Book Antiqua"/>
                <w:sz w:val="20"/>
                <w:szCs w:val="20"/>
              </w:rPr>
              <w:t>933</w:t>
            </w:r>
          </w:p>
        </w:tc>
        <w:tc>
          <w:tcPr>
            <w:tcW w:w="1135" w:type="dxa"/>
            <w:shd w:val="clear" w:color="auto" w:fill="auto"/>
          </w:tcPr>
          <w:p w:rsidR="00EA3E87" w:rsidRPr="00A014B9" w:rsidRDefault="00EA3E87" w:rsidP="00A569DA">
            <w:pPr>
              <w:spacing w:line="259" w:lineRule="auto"/>
              <w:ind w:left="120"/>
              <w:jc w:val="right"/>
              <w:rPr>
                <w:sz w:val="20"/>
                <w:szCs w:val="20"/>
              </w:rPr>
            </w:pPr>
            <w:r w:rsidRPr="00A014B9">
              <w:rPr>
                <w:rFonts w:eastAsia="Book Antiqua"/>
                <w:sz w:val="20"/>
                <w:szCs w:val="20"/>
              </w:rPr>
              <w:t>58</w:t>
            </w:r>
            <w:r w:rsidR="00C11175" w:rsidRPr="00A014B9">
              <w:rPr>
                <w:rFonts w:eastAsia="Book Antiqua"/>
                <w:sz w:val="20"/>
                <w:szCs w:val="20"/>
              </w:rPr>
              <w:t>,</w:t>
            </w:r>
            <w:r w:rsidRPr="00A014B9">
              <w:rPr>
                <w:rFonts w:eastAsia="Book Antiqua"/>
                <w:sz w:val="20"/>
                <w:szCs w:val="20"/>
              </w:rPr>
              <w:t>7%</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right="110" w:firstLine="134"/>
              <w:rPr>
                <w:sz w:val="20"/>
                <w:szCs w:val="20"/>
              </w:rPr>
            </w:pPr>
            <w:r w:rsidRPr="00A014B9">
              <w:rPr>
                <w:rFonts w:eastAsia="Book Antiqua"/>
                <w:sz w:val="20"/>
                <w:szCs w:val="20"/>
              </w:rPr>
              <w:t>Azioni Direzionali</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2</w:t>
            </w:r>
            <w:r w:rsidR="00C11175" w:rsidRPr="00A014B9">
              <w:rPr>
                <w:sz w:val="20"/>
                <w:szCs w:val="20"/>
              </w:rPr>
              <w:t>.</w:t>
            </w:r>
            <w:r w:rsidRPr="00A014B9">
              <w:rPr>
                <w:sz w:val="20"/>
                <w:szCs w:val="20"/>
              </w:rPr>
              <w:t>764</w:t>
            </w:r>
            <w:r w:rsidR="00C11175" w:rsidRPr="00A014B9">
              <w:rPr>
                <w:sz w:val="20"/>
                <w:szCs w:val="20"/>
              </w:rPr>
              <w:t>.</w:t>
            </w:r>
            <w:r w:rsidRPr="00A014B9">
              <w:rPr>
                <w:sz w:val="20"/>
                <w:szCs w:val="20"/>
              </w:rPr>
              <w:t>174</w:t>
            </w:r>
          </w:p>
        </w:tc>
        <w:tc>
          <w:tcPr>
            <w:tcW w:w="1135" w:type="dxa"/>
            <w:shd w:val="clear" w:color="auto" w:fill="auto"/>
          </w:tcPr>
          <w:p w:rsidR="00EA3E87" w:rsidRPr="00A014B9" w:rsidRDefault="00EA3E87" w:rsidP="00A569DA">
            <w:pPr>
              <w:spacing w:line="259" w:lineRule="auto"/>
              <w:ind w:left="180"/>
              <w:jc w:val="right"/>
              <w:rPr>
                <w:sz w:val="20"/>
                <w:szCs w:val="20"/>
              </w:rPr>
            </w:pPr>
            <w:r w:rsidRPr="00A014B9">
              <w:rPr>
                <w:sz w:val="20"/>
                <w:szCs w:val="20"/>
              </w:rPr>
              <w:t>6</w:t>
            </w:r>
            <w:r w:rsidR="00C11175" w:rsidRPr="00A014B9">
              <w:rPr>
                <w:sz w:val="20"/>
                <w:szCs w:val="20"/>
              </w:rPr>
              <w:t>,</w:t>
            </w:r>
            <w:r w:rsidRPr="00A014B9">
              <w:rPr>
                <w:sz w:val="20"/>
                <w:szCs w:val="20"/>
              </w:rPr>
              <w:t>1%</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right="108" w:firstLine="134"/>
              <w:rPr>
                <w:sz w:val="20"/>
                <w:szCs w:val="20"/>
              </w:rPr>
            </w:pPr>
            <w:r w:rsidRPr="00A014B9">
              <w:rPr>
                <w:rFonts w:eastAsia="Book Antiqua"/>
                <w:sz w:val="20"/>
                <w:szCs w:val="20"/>
              </w:rPr>
              <w:t>Bilanciati</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1</w:t>
            </w:r>
            <w:r w:rsidR="00C11175" w:rsidRPr="00A014B9">
              <w:rPr>
                <w:sz w:val="20"/>
                <w:szCs w:val="20"/>
              </w:rPr>
              <w:t>.</w:t>
            </w:r>
            <w:r w:rsidRPr="00A014B9">
              <w:rPr>
                <w:sz w:val="20"/>
                <w:szCs w:val="20"/>
              </w:rPr>
              <w:t>877</w:t>
            </w:r>
            <w:r w:rsidR="00C11175" w:rsidRPr="00A014B9">
              <w:rPr>
                <w:sz w:val="20"/>
                <w:szCs w:val="20"/>
              </w:rPr>
              <w:t>.</w:t>
            </w:r>
            <w:r w:rsidRPr="00A014B9">
              <w:rPr>
                <w:sz w:val="20"/>
                <w:szCs w:val="20"/>
              </w:rPr>
              <w:t>212</w:t>
            </w:r>
          </w:p>
        </w:tc>
        <w:tc>
          <w:tcPr>
            <w:tcW w:w="1135" w:type="dxa"/>
            <w:shd w:val="clear" w:color="auto" w:fill="auto"/>
          </w:tcPr>
          <w:p w:rsidR="00EA3E87" w:rsidRPr="00A014B9" w:rsidRDefault="00EA3E87" w:rsidP="00A569DA">
            <w:pPr>
              <w:spacing w:line="259" w:lineRule="auto"/>
              <w:ind w:left="180"/>
              <w:jc w:val="right"/>
              <w:rPr>
                <w:sz w:val="20"/>
                <w:szCs w:val="20"/>
              </w:rPr>
            </w:pPr>
            <w:r w:rsidRPr="00A014B9">
              <w:rPr>
                <w:sz w:val="20"/>
                <w:szCs w:val="20"/>
              </w:rPr>
              <w:t>4</w:t>
            </w:r>
            <w:r w:rsidR="00C11175" w:rsidRPr="00A014B9">
              <w:rPr>
                <w:sz w:val="20"/>
                <w:szCs w:val="20"/>
              </w:rPr>
              <w:t>,</w:t>
            </w:r>
            <w:r w:rsidRPr="00A014B9">
              <w:rPr>
                <w:sz w:val="20"/>
                <w:szCs w:val="20"/>
              </w:rPr>
              <w:t>1%</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right="113" w:firstLine="134"/>
              <w:rPr>
                <w:sz w:val="20"/>
                <w:szCs w:val="20"/>
              </w:rPr>
            </w:pPr>
            <w:r w:rsidRPr="00A014B9">
              <w:rPr>
                <w:rFonts w:eastAsia="Book Antiqua"/>
                <w:sz w:val="20"/>
                <w:szCs w:val="20"/>
              </w:rPr>
              <w:t>Hedge</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699</w:t>
            </w:r>
            <w:r w:rsidR="00C11175" w:rsidRPr="00A014B9">
              <w:rPr>
                <w:sz w:val="20"/>
                <w:szCs w:val="20"/>
              </w:rPr>
              <w:t>.</w:t>
            </w:r>
            <w:r w:rsidRPr="00A014B9">
              <w:rPr>
                <w:sz w:val="20"/>
                <w:szCs w:val="20"/>
              </w:rPr>
              <w:t>657</w:t>
            </w:r>
          </w:p>
        </w:tc>
        <w:tc>
          <w:tcPr>
            <w:tcW w:w="1135" w:type="dxa"/>
            <w:shd w:val="clear" w:color="auto" w:fill="auto"/>
          </w:tcPr>
          <w:p w:rsidR="00EA3E87" w:rsidRPr="00A014B9" w:rsidRDefault="00EA3E87" w:rsidP="00A569DA">
            <w:pPr>
              <w:spacing w:line="259" w:lineRule="auto"/>
              <w:ind w:left="180"/>
              <w:jc w:val="right"/>
              <w:rPr>
                <w:sz w:val="20"/>
                <w:szCs w:val="20"/>
              </w:rPr>
            </w:pPr>
            <w:r w:rsidRPr="00A014B9">
              <w:rPr>
                <w:sz w:val="20"/>
                <w:szCs w:val="20"/>
              </w:rPr>
              <w:t>1</w:t>
            </w:r>
            <w:r w:rsidR="00C11175" w:rsidRPr="00A014B9">
              <w:rPr>
                <w:sz w:val="20"/>
                <w:szCs w:val="20"/>
              </w:rPr>
              <w:t>,</w:t>
            </w:r>
            <w:r w:rsidRPr="00A014B9">
              <w:rPr>
                <w:sz w:val="20"/>
                <w:szCs w:val="20"/>
              </w:rPr>
              <w:t>5%</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firstLine="134"/>
              <w:rPr>
                <w:sz w:val="20"/>
                <w:szCs w:val="20"/>
              </w:rPr>
            </w:pPr>
            <w:r w:rsidRPr="00A014B9">
              <w:rPr>
                <w:rFonts w:eastAsia="Book Antiqua"/>
                <w:sz w:val="20"/>
                <w:szCs w:val="20"/>
              </w:rPr>
              <w:t>Altri Strumenti Alternativi</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511</w:t>
            </w:r>
            <w:r w:rsidR="00C11175" w:rsidRPr="00A014B9">
              <w:rPr>
                <w:sz w:val="20"/>
                <w:szCs w:val="20"/>
              </w:rPr>
              <w:t>.</w:t>
            </w:r>
            <w:r w:rsidRPr="00A014B9">
              <w:rPr>
                <w:sz w:val="20"/>
                <w:szCs w:val="20"/>
              </w:rPr>
              <w:t>818</w:t>
            </w:r>
          </w:p>
        </w:tc>
        <w:tc>
          <w:tcPr>
            <w:tcW w:w="1135" w:type="dxa"/>
            <w:shd w:val="clear" w:color="auto" w:fill="auto"/>
          </w:tcPr>
          <w:p w:rsidR="00EA3E87" w:rsidRPr="00A014B9" w:rsidRDefault="00EA3E87" w:rsidP="00A569DA">
            <w:pPr>
              <w:spacing w:line="259" w:lineRule="auto"/>
              <w:ind w:left="180"/>
              <w:jc w:val="right"/>
              <w:rPr>
                <w:sz w:val="20"/>
                <w:szCs w:val="20"/>
              </w:rPr>
            </w:pPr>
            <w:r w:rsidRPr="00A014B9">
              <w:rPr>
                <w:sz w:val="20"/>
                <w:szCs w:val="20"/>
              </w:rPr>
              <w:t>1</w:t>
            </w:r>
            <w:r w:rsidR="00C11175" w:rsidRPr="00A014B9">
              <w:rPr>
                <w:sz w:val="20"/>
                <w:szCs w:val="20"/>
              </w:rPr>
              <w:t>,</w:t>
            </w:r>
            <w:r w:rsidRPr="00A014B9">
              <w:rPr>
                <w:sz w:val="20"/>
                <w:szCs w:val="20"/>
              </w:rPr>
              <w:t>1%</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right="118" w:firstLine="134"/>
              <w:rPr>
                <w:sz w:val="20"/>
                <w:szCs w:val="20"/>
              </w:rPr>
            </w:pPr>
            <w:r w:rsidRPr="00A014B9">
              <w:rPr>
                <w:rFonts w:eastAsia="Book Antiqua"/>
                <w:sz w:val="20"/>
                <w:szCs w:val="20"/>
              </w:rPr>
              <w:t>Obbligazioni Governative</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9</w:t>
            </w:r>
            <w:r w:rsidR="00C11175" w:rsidRPr="00A014B9">
              <w:rPr>
                <w:sz w:val="20"/>
                <w:szCs w:val="20"/>
              </w:rPr>
              <w:t>.</w:t>
            </w:r>
            <w:r w:rsidRPr="00A014B9">
              <w:rPr>
                <w:sz w:val="20"/>
                <w:szCs w:val="20"/>
              </w:rPr>
              <w:t>844</w:t>
            </w:r>
            <w:r w:rsidR="00C11175" w:rsidRPr="00A014B9">
              <w:rPr>
                <w:sz w:val="20"/>
                <w:szCs w:val="20"/>
              </w:rPr>
              <w:t>.</w:t>
            </w:r>
            <w:r w:rsidRPr="00A014B9">
              <w:rPr>
                <w:sz w:val="20"/>
                <w:szCs w:val="20"/>
              </w:rPr>
              <w:t>655</w:t>
            </w:r>
          </w:p>
        </w:tc>
        <w:tc>
          <w:tcPr>
            <w:tcW w:w="1135" w:type="dxa"/>
            <w:shd w:val="clear" w:color="auto" w:fill="auto"/>
          </w:tcPr>
          <w:p w:rsidR="00EA3E87" w:rsidRPr="00A014B9" w:rsidRDefault="00EA3E87" w:rsidP="00A569DA">
            <w:pPr>
              <w:spacing w:line="259" w:lineRule="auto"/>
              <w:ind w:left="120"/>
              <w:jc w:val="right"/>
              <w:rPr>
                <w:sz w:val="20"/>
                <w:szCs w:val="20"/>
              </w:rPr>
            </w:pPr>
            <w:r w:rsidRPr="00A014B9">
              <w:rPr>
                <w:sz w:val="20"/>
                <w:szCs w:val="20"/>
              </w:rPr>
              <w:t>21</w:t>
            </w:r>
            <w:r w:rsidR="00C11175" w:rsidRPr="00A014B9">
              <w:rPr>
                <w:sz w:val="20"/>
                <w:szCs w:val="20"/>
              </w:rPr>
              <w:t>,</w:t>
            </w:r>
            <w:r w:rsidRPr="00A014B9">
              <w:rPr>
                <w:sz w:val="20"/>
                <w:szCs w:val="20"/>
              </w:rPr>
              <w:t>6%</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right="117" w:firstLine="134"/>
              <w:rPr>
                <w:sz w:val="20"/>
                <w:szCs w:val="20"/>
              </w:rPr>
            </w:pPr>
            <w:r w:rsidRPr="00A014B9">
              <w:rPr>
                <w:rFonts w:eastAsia="Book Antiqua"/>
                <w:sz w:val="20"/>
                <w:szCs w:val="20"/>
              </w:rPr>
              <w:t>Obbligazioni Societarie</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5</w:t>
            </w:r>
            <w:r w:rsidR="00C11175" w:rsidRPr="00A014B9">
              <w:rPr>
                <w:sz w:val="20"/>
                <w:szCs w:val="20"/>
              </w:rPr>
              <w:t>.</w:t>
            </w:r>
            <w:r w:rsidRPr="00A014B9">
              <w:rPr>
                <w:sz w:val="20"/>
                <w:szCs w:val="20"/>
              </w:rPr>
              <w:t>530</w:t>
            </w:r>
            <w:r w:rsidR="00C11175" w:rsidRPr="00A014B9">
              <w:rPr>
                <w:sz w:val="20"/>
                <w:szCs w:val="20"/>
              </w:rPr>
              <w:t>.</w:t>
            </w:r>
            <w:r w:rsidRPr="00A014B9">
              <w:rPr>
                <w:sz w:val="20"/>
                <w:szCs w:val="20"/>
              </w:rPr>
              <w:t>011</w:t>
            </w:r>
          </w:p>
        </w:tc>
        <w:tc>
          <w:tcPr>
            <w:tcW w:w="1135" w:type="dxa"/>
            <w:shd w:val="clear" w:color="auto" w:fill="auto"/>
          </w:tcPr>
          <w:p w:rsidR="00EA3E87" w:rsidRPr="00A014B9" w:rsidRDefault="00EA3E87" w:rsidP="00A569DA">
            <w:pPr>
              <w:spacing w:line="259" w:lineRule="auto"/>
              <w:ind w:left="120"/>
              <w:jc w:val="right"/>
              <w:rPr>
                <w:sz w:val="20"/>
                <w:szCs w:val="20"/>
              </w:rPr>
            </w:pPr>
            <w:r w:rsidRPr="00A014B9">
              <w:rPr>
                <w:sz w:val="20"/>
                <w:szCs w:val="20"/>
              </w:rPr>
              <w:t>12</w:t>
            </w:r>
            <w:r w:rsidR="00C11175" w:rsidRPr="00A014B9">
              <w:rPr>
                <w:sz w:val="20"/>
                <w:szCs w:val="20"/>
              </w:rPr>
              <w:t>,</w:t>
            </w:r>
            <w:r w:rsidRPr="00A014B9">
              <w:rPr>
                <w:sz w:val="20"/>
                <w:szCs w:val="20"/>
              </w:rPr>
              <w:t>1%</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right="122" w:firstLine="134"/>
              <w:rPr>
                <w:sz w:val="20"/>
                <w:szCs w:val="20"/>
              </w:rPr>
            </w:pPr>
            <w:r w:rsidRPr="00A014B9">
              <w:rPr>
                <w:rFonts w:eastAsia="Book Antiqua"/>
                <w:sz w:val="20"/>
                <w:szCs w:val="20"/>
              </w:rPr>
              <w:t>Obbligazioni High Yield</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1</w:t>
            </w:r>
            <w:r w:rsidR="00C11175" w:rsidRPr="00A014B9">
              <w:rPr>
                <w:sz w:val="20"/>
                <w:szCs w:val="20"/>
              </w:rPr>
              <w:t>.</w:t>
            </w:r>
            <w:r w:rsidRPr="00A014B9">
              <w:rPr>
                <w:sz w:val="20"/>
                <w:szCs w:val="20"/>
              </w:rPr>
              <w:t>370</w:t>
            </w:r>
            <w:r w:rsidR="00C11175" w:rsidRPr="00A014B9">
              <w:rPr>
                <w:sz w:val="20"/>
                <w:szCs w:val="20"/>
              </w:rPr>
              <w:t>.</w:t>
            </w:r>
            <w:r w:rsidRPr="00A014B9">
              <w:rPr>
                <w:sz w:val="20"/>
                <w:szCs w:val="20"/>
              </w:rPr>
              <w:t>050</w:t>
            </w:r>
          </w:p>
        </w:tc>
        <w:tc>
          <w:tcPr>
            <w:tcW w:w="1135" w:type="dxa"/>
            <w:shd w:val="clear" w:color="auto" w:fill="auto"/>
          </w:tcPr>
          <w:p w:rsidR="00EA3E87" w:rsidRPr="00A014B9" w:rsidRDefault="00EA3E87" w:rsidP="00A569DA">
            <w:pPr>
              <w:spacing w:line="259" w:lineRule="auto"/>
              <w:ind w:left="180"/>
              <w:jc w:val="right"/>
              <w:rPr>
                <w:sz w:val="20"/>
                <w:szCs w:val="20"/>
              </w:rPr>
            </w:pPr>
            <w:r w:rsidRPr="00A014B9">
              <w:rPr>
                <w:sz w:val="20"/>
                <w:szCs w:val="20"/>
              </w:rPr>
              <w:t>3</w:t>
            </w:r>
            <w:r w:rsidR="00C11175" w:rsidRPr="00A014B9">
              <w:rPr>
                <w:sz w:val="20"/>
                <w:szCs w:val="20"/>
              </w:rPr>
              <w:t>,</w:t>
            </w:r>
            <w:r w:rsidRPr="00A014B9">
              <w:rPr>
                <w:sz w:val="20"/>
                <w:szCs w:val="20"/>
              </w:rPr>
              <w:t>0%</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right="112" w:firstLine="134"/>
              <w:rPr>
                <w:sz w:val="20"/>
                <w:szCs w:val="20"/>
              </w:rPr>
            </w:pPr>
            <w:r w:rsidRPr="00A014B9">
              <w:rPr>
                <w:rFonts w:eastAsia="Book Antiqua"/>
                <w:sz w:val="20"/>
                <w:szCs w:val="20"/>
              </w:rPr>
              <w:t>Obbligazioni Emergenti</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48</w:t>
            </w:r>
            <w:r w:rsidR="00C11175" w:rsidRPr="00A014B9">
              <w:rPr>
                <w:sz w:val="20"/>
                <w:szCs w:val="20"/>
              </w:rPr>
              <w:t>.</w:t>
            </w:r>
            <w:r w:rsidRPr="00A014B9">
              <w:rPr>
                <w:sz w:val="20"/>
                <w:szCs w:val="20"/>
              </w:rPr>
              <w:t>166</w:t>
            </w:r>
          </w:p>
        </w:tc>
        <w:tc>
          <w:tcPr>
            <w:tcW w:w="1135" w:type="dxa"/>
            <w:shd w:val="clear" w:color="auto" w:fill="auto"/>
          </w:tcPr>
          <w:p w:rsidR="00EA3E87" w:rsidRPr="00A014B9" w:rsidRDefault="00EA3E87" w:rsidP="00A569DA">
            <w:pPr>
              <w:spacing w:line="259" w:lineRule="auto"/>
              <w:ind w:left="180"/>
              <w:jc w:val="right"/>
              <w:rPr>
                <w:sz w:val="20"/>
                <w:szCs w:val="20"/>
              </w:rPr>
            </w:pPr>
            <w:r w:rsidRPr="00A014B9">
              <w:rPr>
                <w:sz w:val="20"/>
                <w:szCs w:val="20"/>
              </w:rPr>
              <w:t>0</w:t>
            </w:r>
            <w:r w:rsidR="00C11175" w:rsidRPr="00A014B9">
              <w:rPr>
                <w:sz w:val="20"/>
                <w:szCs w:val="20"/>
              </w:rPr>
              <w:t>,</w:t>
            </w:r>
            <w:r w:rsidRPr="00A014B9">
              <w:rPr>
                <w:sz w:val="20"/>
                <w:szCs w:val="20"/>
              </w:rPr>
              <w:t>1%</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left="615" w:firstLine="134"/>
              <w:rPr>
                <w:sz w:val="20"/>
                <w:szCs w:val="20"/>
              </w:rPr>
            </w:pPr>
            <w:r w:rsidRPr="00A014B9">
              <w:rPr>
                <w:rFonts w:eastAsia="Book Antiqua"/>
                <w:sz w:val="20"/>
                <w:szCs w:val="20"/>
              </w:rPr>
              <w:t>Liquidità/ Strumenti Monetari</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4</w:t>
            </w:r>
            <w:r w:rsidR="00C11175" w:rsidRPr="00A014B9">
              <w:rPr>
                <w:sz w:val="20"/>
                <w:szCs w:val="20"/>
              </w:rPr>
              <w:t>.</w:t>
            </w:r>
            <w:r w:rsidRPr="00A014B9">
              <w:rPr>
                <w:sz w:val="20"/>
                <w:szCs w:val="20"/>
              </w:rPr>
              <w:t>093</w:t>
            </w:r>
            <w:r w:rsidR="00C11175" w:rsidRPr="00A014B9">
              <w:rPr>
                <w:sz w:val="20"/>
                <w:szCs w:val="20"/>
              </w:rPr>
              <w:t>.</w:t>
            </w:r>
            <w:r w:rsidRPr="00A014B9">
              <w:rPr>
                <w:sz w:val="20"/>
                <w:szCs w:val="20"/>
              </w:rPr>
              <w:t>191</w:t>
            </w:r>
          </w:p>
        </w:tc>
        <w:tc>
          <w:tcPr>
            <w:tcW w:w="1135" w:type="dxa"/>
            <w:shd w:val="clear" w:color="auto" w:fill="auto"/>
          </w:tcPr>
          <w:p w:rsidR="00EA3E87" w:rsidRPr="00A014B9" w:rsidRDefault="00EA3E87" w:rsidP="00A569DA">
            <w:pPr>
              <w:spacing w:line="259" w:lineRule="auto"/>
              <w:ind w:left="180"/>
              <w:jc w:val="right"/>
              <w:rPr>
                <w:sz w:val="20"/>
                <w:szCs w:val="20"/>
              </w:rPr>
            </w:pPr>
            <w:r w:rsidRPr="00A014B9">
              <w:rPr>
                <w:sz w:val="20"/>
                <w:szCs w:val="20"/>
              </w:rPr>
              <w:t>9</w:t>
            </w:r>
            <w:r w:rsidR="00C11175" w:rsidRPr="00A014B9">
              <w:rPr>
                <w:sz w:val="20"/>
                <w:szCs w:val="20"/>
              </w:rPr>
              <w:t>,</w:t>
            </w:r>
            <w:r w:rsidRPr="00A014B9">
              <w:rPr>
                <w:sz w:val="20"/>
                <w:szCs w:val="20"/>
              </w:rPr>
              <w:t>0%</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left="30" w:firstLine="134"/>
              <w:rPr>
                <w:sz w:val="20"/>
                <w:szCs w:val="20"/>
                <w:u w:val="single"/>
              </w:rPr>
            </w:pPr>
            <w:r w:rsidRPr="00A014B9">
              <w:rPr>
                <w:rFonts w:eastAsia="Book Antiqua"/>
                <w:sz w:val="20"/>
                <w:szCs w:val="20"/>
                <w:u w:val="single"/>
              </w:rPr>
              <w:t>Portafoglio Immobilizzato</w:t>
            </w:r>
          </w:p>
        </w:tc>
        <w:tc>
          <w:tcPr>
            <w:tcW w:w="1279" w:type="dxa"/>
            <w:shd w:val="clear" w:color="auto" w:fill="auto"/>
          </w:tcPr>
          <w:p w:rsidR="00EA3E87" w:rsidRPr="00A014B9" w:rsidRDefault="00EA3E87" w:rsidP="00A569DA">
            <w:pPr>
              <w:spacing w:line="259" w:lineRule="auto"/>
              <w:jc w:val="right"/>
              <w:rPr>
                <w:sz w:val="20"/>
                <w:szCs w:val="20"/>
              </w:rPr>
            </w:pPr>
            <w:r w:rsidRPr="00A014B9">
              <w:rPr>
                <w:rFonts w:eastAsia="Book Antiqua"/>
                <w:sz w:val="20"/>
                <w:szCs w:val="20"/>
              </w:rPr>
              <w:t>18</w:t>
            </w:r>
            <w:r w:rsidR="00C11175" w:rsidRPr="00A014B9">
              <w:rPr>
                <w:rFonts w:eastAsia="Book Antiqua"/>
                <w:sz w:val="20"/>
                <w:szCs w:val="20"/>
              </w:rPr>
              <w:t>.</w:t>
            </w:r>
            <w:r w:rsidRPr="00A014B9">
              <w:rPr>
                <w:rFonts w:eastAsia="Book Antiqua"/>
                <w:sz w:val="20"/>
                <w:szCs w:val="20"/>
              </w:rPr>
              <w:t>822</w:t>
            </w:r>
            <w:r w:rsidR="00C11175" w:rsidRPr="00A014B9">
              <w:rPr>
                <w:rFonts w:eastAsia="Book Antiqua"/>
                <w:sz w:val="20"/>
                <w:szCs w:val="20"/>
              </w:rPr>
              <w:t>.</w:t>
            </w:r>
            <w:r w:rsidRPr="00A014B9">
              <w:rPr>
                <w:rFonts w:eastAsia="Book Antiqua"/>
                <w:sz w:val="20"/>
                <w:szCs w:val="20"/>
              </w:rPr>
              <w:t>608</w:t>
            </w:r>
          </w:p>
        </w:tc>
        <w:tc>
          <w:tcPr>
            <w:tcW w:w="1135" w:type="dxa"/>
            <w:shd w:val="clear" w:color="auto" w:fill="auto"/>
          </w:tcPr>
          <w:p w:rsidR="00EA3E87" w:rsidRPr="00A014B9" w:rsidRDefault="00EA3E87" w:rsidP="00A569DA">
            <w:pPr>
              <w:spacing w:line="259" w:lineRule="auto"/>
              <w:ind w:left="120"/>
              <w:jc w:val="right"/>
              <w:rPr>
                <w:sz w:val="20"/>
                <w:szCs w:val="20"/>
              </w:rPr>
            </w:pPr>
            <w:r w:rsidRPr="00A014B9">
              <w:rPr>
                <w:rFonts w:eastAsia="Book Antiqua"/>
                <w:sz w:val="20"/>
                <w:szCs w:val="20"/>
              </w:rPr>
              <w:t>41</w:t>
            </w:r>
            <w:r w:rsidR="00C11175" w:rsidRPr="00A014B9">
              <w:rPr>
                <w:rFonts w:eastAsia="Book Antiqua"/>
                <w:sz w:val="20"/>
                <w:szCs w:val="20"/>
              </w:rPr>
              <w:t>,</w:t>
            </w:r>
            <w:r w:rsidRPr="00A014B9">
              <w:rPr>
                <w:rFonts w:eastAsia="Book Antiqua"/>
                <w:sz w:val="20"/>
                <w:szCs w:val="20"/>
              </w:rPr>
              <w:t>3%</w:t>
            </w:r>
          </w:p>
        </w:tc>
      </w:tr>
      <w:tr w:rsidR="00EA3E87" w:rsidRPr="00A014B9" w:rsidTr="00634957">
        <w:trPr>
          <w:trHeight w:hRule="exact" w:val="340"/>
        </w:trPr>
        <w:tc>
          <w:tcPr>
            <w:tcW w:w="2827" w:type="dxa"/>
            <w:shd w:val="clear" w:color="auto" w:fill="auto"/>
          </w:tcPr>
          <w:p w:rsidR="00EA3E87" w:rsidRPr="00A014B9" w:rsidRDefault="00EA3E87" w:rsidP="00634957">
            <w:pPr>
              <w:spacing w:line="259" w:lineRule="auto"/>
              <w:ind w:left="30" w:firstLine="134"/>
              <w:rPr>
                <w:sz w:val="20"/>
                <w:szCs w:val="20"/>
              </w:rPr>
            </w:pPr>
            <w:r w:rsidRPr="00A014B9">
              <w:rPr>
                <w:sz w:val="20"/>
                <w:szCs w:val="20"/>
              </w:rPr>
              <w:t>Polizze Assicurative</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2</w:t>
            </w:r>
            <w:r w:rsidR="00C11175" w:rsidRPr="00A014B9">
              <w:rPr>
                <w:sz w:val="20"/>
                <w:szCs w:val="20"/>
              </w:rPr>
              <w:t>.</w:t>
            </w:r>
            <w:r w:rsidRPr="00A014B9">
              <w:rPr>
                <w:sz w:val="20"/>
                <w:szCs w:val="20"/>
              </w:rPr>
              <w:t>088</w:t>
            </w:r>
            <w:r w:rsidR="00C11175" w:rsidRPr="00A014B9">
              <w:rPr>
                <w:sz w:val="20"/>
                <w:szCs w:val="20"/>
              </w:rPr>
              <w:t>.</w:t>
            </w:r>
            <w:r w:rsidRPr="00A014B9">
              <w:rPr>
                <w:sz w:val="20"/>
                <w:szCs w:val="20"/>
              </w:rPr>
              <w:t>607</w:t>
            </w:r>
          </w:p>
        </w:tc>
        <w:tc>
          <w:tcPr>
            <w:tcW w:w="1135" w:type="dxa"/>
            <w:shd w:val="clear" w:color="auto" w:fill="auto"/>
          </w:tcPr>
          <w:p w:rsidR="00EA3E87" w:rsidRPr="00A014B9" w:rsidRDefault="00EA3E87" w:rsidP="00A569DA">
            <w:pPr>
              <w:spacing w:line="259" w:lineRule="auto"/>
              <w:ind w:left="180"/>
              <w:jc w:val="right"/>
              <w:rPr>
                <w:sz w:val="20"/>
                <w:szCs w:val="20"/>
              </w:rPr>
            </w:pPr>
            <w:r w:rsidRPr="00A014B9">
              <w:rPr>
                <w:sz w:val="20"/>
                <w:szCs w:val="20"/>
              </w:rPr>
              <w:t>4</w:t>
            </w:r>
            <w:r w:rsidR="00C11175" w:rsidRPr="00A014B9">
              <w:rPr>
                <w:sz w:val="20"/>
                <w:szCs w:val="20"/>
              </w:rPr>
              <w:t>,</w:t>
            </w:r>
            <w:r w:rsidRPr="00A014B9">
              <w:rPr>
                <w:sz w:val="20"/>
                <w:szCs w:val="20"/>
              </w:rPr>
              <w:t>6%</w:t>
            </w:r>
          </w:p>
        </w:tc>
      </w:tr>
      <w:tr w:rsidR="00EA3E87" w:rsidRPr="00A014B9" w:rsidTr="00634957">
        <w:trPr>
          <w:trHeight w:hRule="exact" w:val="340"/>
        </w:trPr>
        <w:tc>
          <w:tcPr>
            <w:tcW w:w="2827" w:type="dxa"/>
            <w:shd w:val="clear" w:color="auto" w:fill="auto"/>
          </w:tcPr>
          <w:p w:rsidR="00EA3E87" w:rsidRPr="00A014B9" w:rsidRDefault="00EA3E87" w:rsidP="006B35C6">
            <w:pPr>
              <w:spacing w:line="259" w:lineRule="auto"/>
              <w:ind w:left="134" w:hanging="104"/>
              <w:rPr>
                <w:sz w:val="20"/>
                <w:szCs w:val="20"/>
              </w:rPr>
            </w:pPr>
            <w:r w:rsidRPr="00A014B9">
              <w:rPr>
                <w:sz w:val="20"/>
                <w:szCs w:val="20"/>
              </w:rPr>
              <w:t>CDP</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3</w:t>
            </w:r>
            <w:r w:rsidR="00C11175" w:rsidRPr="00A014B9">
              <w:rPr>
                <w:sz w:val="20"/>
                <w:szCs w:val="20"/>
              </w:rPr>
              <w:t>.</w:t>
            </w:r>
            <w:r w:rsidRPr="00A014B9">
              <w:rPr>
                <w:sz w:val="20"/>
                <w:szCs w:val="20"/>
              </w:rPr>
              <w:t>488</w:t>
            </w:r>
            <w:r w:rsidR="00C11175" w:rsidRPr="00A014B9">
              <w:rPr>
                <w:sz w:val="20"/>
                <w:szCs w:val="20"/>
              </w:rPr>
              <w:t>.</w:t>
            </w:r>
            <w:r w:rsidRPr="00A014B9">
              <w:rPr>
                <w:sz w:val="20"/>
                <w:szCs w:val="20"/>
              </w:rPr>
              <w:t>563</w:t>
            </w:r>
          </w:p>
        </w:tc>
        <w:tc>
          <w:tcPr>
            <w:tcW w:w="1135" w:type="dxa"/>
            <w:shd w:val="clear" w:color="auto" w:fill="auto"/>
          </w:tcPr>
          <w:p w:rsidR="00EA3E87" w:rsidRPr="00A014B9" w:rsidRDefault="00EA3E87" w:rsidP="00A569DA">
            <w:pPr>
              <w:spacing w:line="259" w:lineRule="auto"/>
              <w:ind w:left="180"/>
              <w:jc w:val="right"/>
              <w:rPr>
                <w:sz w:val="20"/>
                <w:szCs w:val="20"/>
              </w:rPr>
            </w:pPr>
            <w:r w:rsidRPr="00A014B9">
              <w:rPr>
                <w:sz w:val="20"/>
                <w:szCs w:val="20"/>
              </w:rPr>
              <w:t>7</w:t>
            </w:r>
            <w:r w:rsidR="00C11175" w:rsidRPr="00A014B9">
              <w:rPr>
                <w:sz w:val="20"/>
                <w:szCs w:val="20"/>
              </w:rPr>
              <w:t>,</w:t>
            </w:r>
            <w:r w:rsidRPr="00A014B9">
              <w:rPr>
                <w:sz w:val="20"/>
                <w:szCs w:val="20"/>
              </w:rPr>
              <w:t>7%</w:t>
            </w:r>
          </w:p>
        </w:tc>
      </w:tr>
      <w:tr w:rsidR="00EA3E87" w:rsidRPr="00A014B9" w:rsidTr="00634957">
        <w:trPr>
          <w:trHeight w:hRule="exact" w:val="340"/>
        </w:trPr>
        <w:tc>
          <w:tcPr>
            <w:tcW w:w="2827" w:type="dxa"/>
            <w:shd w:val="clear" w:color="auto" w:fill="auto"/>
          </w:tcPr>
          <w:p w:rsidR="00EA3E87" w:rsidRPr="00A014B9" w:rsidRDefault="00EA3E87" w:rsidP="006B35C6">
            <w:pPr>
              <w:spacing w:line="259" w:lineRule="auto"/>
              <w:ind w:left="134" w:hanging="104"/>
              <w:rPr>
                <w:sz w:val="20"/>
                <w:szCs w:val="20"/>
              </w:rPr>
            </w:pPr>
            <w:r w:rsidRPr="00A014B9">
              <w:rPr>
                <w:sz w:val="20"/>
                <w:szCs w:val="20"/>
              </w:rPr>
              <w:t>C</w:t>
            </w:r>
            <w:r w:rsidR="003308BB" w:rsidRPr="00A014B9">
              <w:rPr>
                <w:sz w:val="20"/>
                <w:szCs w:val="20"/>
              </w:rPr>
              <w:t xml:space="preserve">onto </w:t>
            </w:r>
            <w:r w:rsidRPr="00A014B9">
              <w:rPr>
                <w:sz w:val="20"/>
                <w:szCs w:val="20"/>
              </w:rPr>
              <w:t>Amm</w:t>
            </w:r>
            <w:r w:rsidR="003308BB" w:rsidRPr="00A014B9">
              <w:rPr>
                <w:sz w:val="20"/>
                <w:szCs w:val="20"/>
              </w:rPr>
              <w:t>inistrato</w:t>
            </w:r>
          </w:p>
        </w:tc>
        <w:tc>
          <w:tcPr>
            <w:tcW w:w="1279" w:type="dxa"/>
            <w:shd w:val="clear" w:color="auto" w:fill="auto"/>
          </w:tcPr>
          <w:p w:rsidR="00EA3E87" w:rsidRPr="00A014B9" w:rsidRDefault="00EA3E87" w:rsidP="00A569DA">
            <w:pPr>
              <w:spacing w:line="259" w:lineRule="auto"/>
              <w:ind w:left="15"/>
              <w:jc w:val="right"/>
              <w:rPr>
                <w:sz w:val="20"/>
                <w:szCs w:val="20"/>
              </w:rPr>
            </w:pPr>
            <w:r w:rsidRPr="00A014B9">
              <w:rPr>
                <w:sz w:val="20"/>
                <w:szCs w:val="20"/>
              </w:rPr>
              <w:t>13</w:t>
            </w:r>
            <w:r w:rsidR="00C11175" w:rsidRPr="00A014B9">
              <w:rPr>
                <w:sz w:val="20"/>
                <w:szCs w:val="20"/>
              </w:rPr>
              <w:t>.</w:t>
            </w:r>
            <w:r w:rsidRPr="00A014B9">
              <w:rPr>
                <w:sz w:val="20"/>
                <w:szCs w:val="20"/>
              </w:rPr>
              <w:t>245</w:t>
            </w:r>
            <w:r w:rsidR="00C11175" w:rsidRPr="00A014B9">
              <w:rPr>
                <w:sz w:val="20"/>
                <w:szCs w:val="20"/>
              </w:rPr>
              <w:t>.</w:t>
            </w:r>
            <w:r w:rsidRPr="00A014B9">
              <w:rPr>
                <w:sz w:val="20"/>
                <w:szCs w:val="20"/>
              </w:rPr>
              <w:t>439</w:t>
            </w:r>
          </w:p>
        </w:tc>
        <w:tc>
          <w:tcPr>
            <w:tcW w:w="1135" w:type="dxa"/>
            <w:shd w:val="clear" w:color="auto" w:fill="auto"/>
          </w:tcPr>
          <w:p w:rsidR="00EA3E87" w:rsidRPr="00A014B9" w:rsidRDefault="00EA3E87" w:rsidP="00A569DA">
            <w:pPr>
              <w:spacing w:line="259" w:lineRule="auto"/>
              <w:ind w:left="120"/>
              <w:jc w:val="right"/>
              <w:rPr>
                <w:sz w:val="20"/>
                <w:szCs w:val="20"/>
              </w:rPr>
            </w:pPr>
            <w:r w:rsidRPr="00A014B9">
              <w:rPr>
                <w:sz w:val="20"/>
                <w:szCs w:val="20"/>
              </w:rPr>
              <w:t>29</w:t>
            </w:r>
            <w:r w:rsidR="00C11175" w:rsidRPr="00A014B9">
              <w:rPr>
                <w:sz w:val="20"/>
                <w:szCs w:val="20"/>
              </w:rPr>
              <w:t>,</w:t>
            </w:r>
            <w:r w:rsidRPr="00A014B9">
              <w:rPr>
                <w:sz w:val="20"/>
                <w:szCs w:val="20"/>
              </w:rPr>
              <w:t>1%</w:t>
            </w:r>
          </w:p>
        </w:tc>
      </w:tr>
      <w:tr w:rsidR="00EA3E87" w:rsidRPr="00A014B9" w:rsidTr="00634957">
        <w:trPr>
          <w:trHeight w:hRule="exact" w:val="340"/>
        </w:trPr>
        <w:tc>
          <w:tcPr>
            <w:tcW w:w="2827" w:type="dxa"/>
            <w:shd w:val="clear" w:color="auto" w:fill="auto"/>
          </w:tcPr>
          <w:p w:rsidR="00EA3E87" w:rsidRPr="00A014B9" w:rsidRDefault="00EA3E87" w:rsidP="006B35C6">
            <w:pPr>
              <w:spacing w:line="259" w:lineRule="auto"/>
              <w:ind w:left="134" w:right="107" w:hanging="104"/>
              <w:jc w:val="center"/>
              <w:rPr>
                <w:sz w:val="20"/>
                <w:szCs w:val="20"/>
              </w:rPr>
            </w:pPr>
            <w:r w:rsidRPr="00A014B9">
              <w:rPr>
                <w:rFonts w:eastAsia="Book Antiqua"/>
                <w:i/>
                <w:sz w:val="20"/>
                <w:szCs w:val="20"/>
              </w:rPr>
              <w:t>Azioni</w:t>
            </w:r>
          </w:p>
        </w:tc>
        <w:tc>
          <w:tcPr>
            <w:tcW w:w="1279" w:type="dxa"/>
            <w:shd w:val="clear" w:color="auto" w:fill="auto"/>
          </w:tcPr>
          <w:p w:rsidR="00EA3E87" w:rsidRPr="00A014B9" w:rsidRDefault="00EA3E87" w:rsidP="00A569DA">
            <w:pPr>
              <w:spacing w:line="259" w:lineRule="auto"/>
              <w:ind w:left="30"/>
              <w:jc w:val="center"/>
              <w:rPr>
                <w:sz w:val="20"/>
                <w:szCs w:val="20"/>
              </w:rPr>
            </w:pPr>
            <w:r w:rsidRPr="00A014B9">
              <w:rPr>
                <w:rFonts w:eastAsia="Book Antiqua"/>
                <w:i/>
                <w:sz w:val="20"/>
                <w:szCs w:val="20"/>
              </w:rPr>
              <w:t>9</w:t>
            </w:r>
            <w:r w:rsidR="00C11175" w:rsidRPr="00A014B9">
              <w:rPr>
                <w:rFonts w:eastAsia="Book Antiqua"/>
                <w:i/>
                <w:sz w:val="20"/>
                <w:szCs w:val="20"/>
              </w:rPr>
              <w:t>.</w:t>
            </w:r>
            <w:r w:rsidRPr="00A014B9">
              <w:rPr>
                <w:rFonts w:eastAsia="Book Antiqua"/>
                <w:i/>
                <w:sz w:val="20"/>
                <w:szCs w:val="20"/>
              </w:rPr>
              <w:t>426</w:t>
            </w:r>
            <w:r w:rsidR="00C11175" w:rsidRPr="00A014B9">
              <w:rPr>
                <w:rFonts w:eastAsia="Book Antiqua"/>
                <w:i/>
                <w:sz w:val="20"/>
                <w:szCs w:val="20"/>
              </w:rPr>
              <w:t>.</w:t>
            </w:r>
            <w:r w:rsidRPr="00A014B9">
              <w:rPr>
                <w:rFonts w:eastAsia="Book Antiqua"/>
                <w:i/>
                <w:sz w:val="20"/>
                <w:szCs w:val="20"/>
              </w:rPr>
              <w:t>042</w:t>
            </w:r>
          </w:p>
        </w:tc>
        <w:tc>
          <w:tcPr>
            <w:tcW w:w="1135" w:type="dxa"/>
            <w:shd w:val="clear" w:color="auto" w:fill="auto"/>
          </w:tcPr>
          <w:p w:rsidR="00EA3E87" w:rsidRPr="00A014B9" w:rsidRDefault="00EA3E87" w:rsidP="00A569DA">
            <w:pPr>
              <w:spacing w:line="259" w:lineRule="auto"/>
              <w:ind w:right="1"/>
              <w:jc w:val="center"/>
              <w:rPr>
                <w:sz w:val="20"/>
                <w:szCs w:val="20"/>
              </w:rPr>
            </w:pPr>
            <w:r w:rsidRPr="00A014B9">
              <w:rPr>
                <w:rFonts w:eastAsia="Book Antiqua"/>
                <w:i/>
                <w:sz w:val="20"/>
                <w:szCs w:val="20"/>
              </w:rPr>
              <w:t>20</w:t>
            </w:r>
            <w:r w:rsidR="00C11175" w:rsidRPr="00A014B9">
              <w:rPr>
                <w:rFonts w:eastAsia="Book Antiqua"/>
                <w:i/>
                <w:sz w:val="20"/>
                <w:szCs w:val="20"/>
              </w:rPr>
              <w:t>,</w:t>
            </w:r>
            <w:r w:rsidRPr="00A014B9">
              <w:rPr>
                <w:rFonts w:eastAsia="Book Antiqua"/>
                <w:i/>
                <w:sz w:val="20"/>
                <w:szCs w:val="20"/>
              </w:rPr>
              <w:t>7%</w:t>
            </w:r>
          </w:p>
        </w:tc>
      </w:tr>
      <w:tr w:rsidR="00EA3E87" w:rsidRPr="00A014B9" w:rsidTr="00634957">
        <w:trPr>
          <w:trHeight w:hRule="exact" w:val="340"/>
        </w:trPr>
        <w:tc>
          <w:tcPr>
            <w:tcW w:w="2827" w:type="dxa"/>
            <w:shd w:val="clear" w:color="auto" w:fill="auto"/>
          </w:tcPr>
          <w:p w:rsidR="00EA3E87" w:rsidRPr="00A014B9" w:rsidRDefault="00EA3E87" w:rsidP="006B35C6">
            <w:pPr>
              <w:spacing w:line="259" w:lineRule="auto"/>
              <w:ind w:left="134" w:right="117" w:hanging="104"/>
              <w:jc w:val="center"/>
              <w:rPr>
                <w:sz w:val="20"/>
                <w:szCs w:val="20"/>
              </w:rPr>
            </w:pPr>
            <w:r w:rsidRPr="00A014B9">
              <w:rPr>
                <w:rFonts w:eastAsia="Book Antiqua"/>
                <w:i/>
                <w:sz w:val="20"/>
                <w:szCs w:val="20"/>
              </w:rPr>
              <w:t>Bond</w:t>
            </w:r>
          </w:p>
        </w:tc>
        <w:tc>
          <w:tcPr>
            <w:tcW w:w="1279" w:type="dxa"/>
            <w:shd w:val="clear" w:color="auto" w:fill="auto"/>
          </w:tcPr>
          <w:p w:rsidR="00EA3E87" w:rsidRPr="00A014B9" w:rsidRDefault="00EA3E87" w:rsidP="00A569DA">
            <w:pPr>
              <w:spacing w:line="259" w:lineRule="auto"/>
              <w:ind w:left="30"/>
              <w:jc w:val="center"/>
              <w:rPr>
                <w:sz w:val="20"/>
                <w:szCs w:val="20"/>
              </w:rPr>
            </w:pPr>
            <w:r w:rsidRPr="00A014B9">
              <w:rPr>
                <w:rFonts w:eastAsia="Book Antiqua"/>
                <w:i/>
                <w:sz w:val="20"/>
                <w:szCs w:val="20"/>
              </w:rPr>
              <w:t>3</w:t>
            </w:r>
            <w:r w:rsidR="00C11175" w:rsidRPr="00A014B9">
              <w:rPr>
                <w:rFonts w:eastAsia="Book Antiqua"/>
                <w:i/>
                <w:sz w:val="20"/>
                <w:szCs w:val="20"/>
              </w:rPr>
              <w:t>.</w:t>
            </w:r>
            <w:r w:rsidRPr="00A014B9">
              <w:rPr>
                <w:rFonts w:eastAsia="Book Antiqua"/>
                <w:i/>
                <w:sz w:val="20"/>
                <w:szCs w:val="20"/>
              </w:rPr>
              <w:t>469</w:t>
            </w:r>
            <w:r w:rsidR="00C11175" w:rsidRPr="00A014B9">
              <w:rPr>
                <w:rFonts w:eastAsia="Book Antiqua"/>
                <w:i/>
                <w:sz w:val="20"/>
                <w:szCs w:val="20"/>
              </w:rPr>
              <w:t>.</w:t>
            </w:r>
            <w:r w:rsidRPr="00A014B9">
              <w:rPr>
                <w:rFonts w:eastAsia="Book Antiqua"/>
                <w:i/>
                <w:sz w:val="20"/>
                <w:szCs w:val="20"/>
              </w:rPr>
              <w:t>124</w:t>
            </w:r>
          </w:p>
        </w:tc>
        <w:tc>
          <w:tcPr>
            <w:tcW w:w="1135" w:type="dxa"/>
            <w:shd w:val="clear" w:color="auto" w:fill="auto"/>
          </w:tcPr>
          <w:p w:rsidR="00EA3E87" w:rsidRPr="00A014B9" w:rsidRDefault="00EA3E87" w:rsidP="00A569DA">
            <w:pPr>
              <w:spacing w:line="259" w:lineRule="auto"/>
              <w:jc w:val="center"/>
              <w:rPr>
                <w:sz w:val="20"/>
                <w:szCs w:val="20"/>
              </w:rPr>
            </w:pPr>
            <w:r w:rsidRPr="00A014B9">
              <w:rPr>
                <w:rFonts w:eastAsia="Book Antiqua"/>
                <w:i/>
                <w:sz w:val="20"/>
                <w:szCs w:val="20"/>
              </w:rPr>
              <w:t>7</w:t>
            </w:r>
            <w:r w:rsidR="00C11175" w:rsidRPr="00A014B9">
              <w:rPr>
                <w:rFonts w:eastAsia="Book Antiqua"/>
                <w:i/>
                <w:sz w:val="20"/>
                <w:szCs w:val="20"/>
              </w:rPr>
              <w:t>,</w:t>
            </w:r>
            <w:r w:rsidRPr="00A014B9">
              <w:rPr>
                <w:rFonts w:eastAsia="Book Antiqua"/>
                <w:i/>
                <w:sz w:val="20"/>
                <w:szCs w:val="20"/>
              </w:rPr>
              <w:t>6%</w:t>
            </w:r>
          </w:p>
        </w:tc>
      </w:tr>
      <w:tr w:rsidR="00EA3E87" w:rsidRPr="00A014B9" w:rsidTr="00634957">
        <w:trPr>
          <w:trHeight w:hRule="exact" w:val="340"/>
        </w:trPr>
        <w:tc>
          <w:tcPr>
            <w:tcW w:w="2827" w:type="dxa"/>
            <w:shd w:val="clear" w:color="auto" w:fill="auto"/>
          </w:tcPr>
          <w:p w:rsidR="00EA3E87" w:rsidRPr="00A014B9" w:rsidRDefault="00EA3E87" w:rsidP="006B35C6">
            <w:pPr>
              <w:spacing w:line="259" w:lineRule="auto"/>
              <w:ind w:left="134" w:right="114" w:hanging="104"/>
              <w:jc w:val="center"/>
              <w:rPr>
                <w:sz w:val="20"/>
                <w:szCs w:val="20"/>
              </w:rPr>
            </w:pPr>
            <w:r w:rsidRPr="00A014B9">
              <w:rPr>
                <w:rFonts w:eastAsia="Book Antiqua"/>
                <w:i/>
                <w:sz w:val="20"/>
                <w:szCs w:val="20"/>
              </w:rPr>
              <w:t>Immobil</w:t>
            </w:r>
            <w:r w:rsidR="003308BB" w:rsidRPr="00A014B9">
              <w:rPr>
                <w:rFonts w:eastAsia="Book Antiqua"/>
                <w:i/>
                <w:sz w:val="20"/>
                <w:szCs w:val="20"/>
              </w:rPr>
              <w:t>i</w:t>
            </w:r>
            <w:r w:rsidRPr="00A014B9">
              <w:rPr>
                <w:rFonts w:eastAsia="Book Antiqua"/>
                <w:i/>
                <w:sz w:val="20"/>
                <w:szCs w:val="20"/>
              </w:rPr>
              <w:t>are</w:t>
            </w:r>
          </w:p>
        </w:tc>
        <w:tc>
          <w:tcPr>
            <w:tcW w:w="1279" w:type="dxa"/>
            <w:shd w:val="clear" w:color="auto" w:fill="auto"/>
          </w:tcPr>
          <w:p w:rsidR="00EA3E87" w:rsidRPr="00A014B9" w:rsidRDefault="00EA3E87" w:rsidP="00A569DA">
            <w:pPr>
              <w:spacing w:line="259" w:lineRule="auto"/>
              <w:ind w:left="30"/>
              <w:jc w:val="center"/>
              <w:rPr>
                <w:sz w:val="20"/>
                <w:szCs w:val="20"/>
              </w:rPr>
            </w:pPr>
            <w:r w:rsidRPr="00A014B9">
              <w:rPr>
                <w:rFonts w:eastAsia="Book Antiqua"/>
                <w:i/>
                <w:sz w:val="20"/>
                <w:szCs w:val="20"/>
              </w:rPr>
              <w:t>350</w:t>
            </w:r>
            <w:r w:rsidR="00C11175" w:rsidRPr="00A014B9">
              <w:rPr>
                <w:rFonts w:eastAsia="Book Antiqua"/>
                <w:i/>
                <w:sz w:val="20"/>
                <w:szCs w:val="20"/>
              </w:rPr>
              <w:t>.</w:t>
            </w:r>
            <w:r w:rsidRPr="00A014B9">
              <w:rPr>
                <w:rFonts w:eastAsia="Book Antiqua"/>
                <w:i/>
                <w:sz w:val="20"/>
                <w:szCs w:val="20"/>
              </w:rPr>
              <w:t>273</w:t>
            </w:r>
          </w:p>
        </w:tc>
        <w:tc>
          <w:tcPr>
            <w:tcW w:w="1135" w:type="dxa"/>
            <w:shd w:val="clear" w:color="auto" w:fill="auto"/>
          </w:tcPr>
          <w:p w:rsidR="00EA3E87" w:rsidRPr="00A014B9" w:rsidRDefault="00EA3E87" w:rsidP="00A569DA">
            <w:pPr>
              <w:spacing w:line="259" w:lineRule="auto"/>
              <w:jc w:val="center"/>
              <w:rPr>
                <w:sz w:val="20"/>
                <w:szCs w:val="20"/>
              </w:rPr>
            </w:pPr>
            <w:r w:rsidRPr="00A014B9">
              <w:rPr>
                <w:rFonts w:eastAsia="Book Antiqua"/>
                <w:i/>
                <w:sz w:val="20"/>
                <w:szCs w:val="20"/>
              </w:rPr>
              <w:t>0</w:t>
            </w:r>
            <w:r w:rsidR="00C11175" w:rsidRPr="00A014B9">
              <w:rPr>
                <w:rFonts w:eastAsia="Book Antiqua"/>
                <w:i/>
                <w:sz w:val="20"/>
                <w:szCs w:val="20"/>
              </w:rPr>
              <w:t>,</w:t>
            </w:r>
            <w:r w:rsidRPr="00A014B9">
              <w:rPr>
                <w:rFonts w:eastAsia="Book Antiqua"/>
                <w:i/>
                <w:sz w:val="20"/>
                <w:szCs w:val="20"/>
              </w:rPr>
              <w:t>8%</w:t>
            </w:r>
          </w:p>
        </w:tc>
      </w:tr>
      <w:tr w:rsidR="00EA3E87" w:rsidRPr="00A014B9" w:rsidTr="00634957">
        <w:trPr>
          <w:trHeight w:hRule="exact" w:val="340"/>
        </w:trPr>
        <w:tc>
          <w:tcPr>
            <w:tcW w:w="2827" w:type="dxa"/>
            <w:shd w:val="clear" w:color="auto" w:fill="auto"/>
          </w:tcPr>
          <w:p w:rsidR="00EA3E87" w:rsidRPr="00A014B9" w:rsidRDefault="00EA3E87" w:rsidP="006B35C6">
            <w:pPr>
              <w:spacing w:line="259" w:lineRule="auto"/>
              <w:ind w:left="134" w:hanging="104"/>
              <w:rPr>
                <w:sz w:val="20"/>
                <w:szCs w:val="20"/>
              </w:rPr>
            </w:pPr>
            <w:r w:rsidRPr="00A014B9">
              <w:rPr>
                <w:rFonts w:eastAsia="Book Antiqua"/>
                <w:sz w:val="20"/>
                <w:szCs w:val="20"/>
              </w:rPr>
              <w:t>TOTALE</w:t>
            </w:r>
          </w:p>
        </w:tc>
        <w:tc>
          <w:tcPr>
            <w:tcW w:w="1279" w:type="dxa"/>
            <w:shd w:val="clear" w:color="auto" w:fill="auto"/>
          </w:tcPr>
          <w:p w:rsidR="00EA3E87" w:rsidRPr="00A014B9" w:rsidRDefault="00EA3E87" w:rsidP="00A569DA">
            <w:pPr>
              <w:spacing w:line="259" w:lineRule="auto"/>
              <w:jc w:val="right"/>
              <w:rPr>
                <w:sz w:val="20"/>
                <w:szCs w:val="20"/>
              </w:rPr>
            </w:pPr>
            <w:r w:rsidRPr="00A014B9">
              <w:rPr>
                <w:rFonts w:eastAsia="Book Antiqua"/>
                <w:sz w:val="20"/>
                <w:szCs w:val="20"/>
              </w:rPr>
              <w:t>45</w:t>
            </w:r>
            <w:r w:rsidR="00C11175" w:rsidRPr="00A014B9">
              <w:rPr>
                <w:rFonts w:eastAsia="Book Antiqua"/>
                <w:sz w:val="20"/>
                <w:szCs w:val="20"/>
              </w:rPr>
              <w:t>.</w:t>
            </w:r>
            <w:r w:rsidRPr="00A014B9">
              <w:rPr>
                <w:rFonts w:eastAsia="Book Antiqua"/>
                <w:sz w:val="20"/>
                <w:szCs w:val="20"/>
              </w:rPr>
              <w:t>561</w:t>
            </w:r>
            <w:r w:rsidR="00C11175" w:rsidRPr="00A014B9">
              <w:rPr>
                <w:rFonts w:eastAsia="Book Antiqua"/>
                <w:sz w:val="20"/>
                <w:szCs w:val="20"/>
              </w:rPr>
              <w:t>.</w:t>
            </w:r>
            <w:r w:rsidRPr="00A014B9">
              <w:rPr>
                <w:rFonts w:eastAsia="Book Antiqua"/>
                <w:sz w:val="20"/>
                <w:szCs w:val="20"/>
              </w:rPr>
              <w:t>542</w:t>
            </w:r>
          </w:p>
        </w:tc>
        <w:tc>
          <w:tcPr>
            <w:tcW w:w="1135" w:type="dxa"/>
            <w:shd w:val="clear" w:color="auto" w:fill="auto"/>
          </w:tcPr>
          <w:p w:rsidR="00EA3E87" w:rsidRPr="00A014B9" w:rsidRDefault="00EA3E87" w:rsidP="00A569DA">
            <w:pPr>
              <w:spacing w:line="259" w:lineRule="auto"/>
              <w:jc w:val="right"/>
              <w:rPr>
                <w:sz w:val="20"/>
                <w:szCs w:val="20"/>
              </w:rPr>
            </w:pPr>
            <w:r w:rsidRPr="00A014B9">
              <w:rPr>
                <w:rFonts w:eastAsia="Book Antiqua"/>
                <w:sz w:val="20"/>
                <w:szCs w:val="20"/>
              </w:rPr>
              <w:t>100</w:t>
            </w:r>
            <w:r w:rsidR="00C11175" w:rsidRPr="00A014B9">
              <w:rPr>
                <w:rFonts w:eastAsia="Book Antiqua"/>
                <w:sz w:val="20"/>
                <w:szCs w:val="20"/>
              </w:rPr>
              <w:t>,</w:t>
            </w:r>
            <w:r w:rsidRPr="00A014B9">
              <w:rPr>
                <w:rFonts w:eastAsia="Book Antiqua"/>
                <w:sz w:val="20"/>
                <w:szCs w:val="20"/>
              </w:rPr>
              <w:t>00%</w:t>
            </w:r>
          </w:p>
        </w:tc>
      </w:tr>
    </w:tbl>
    <w:p w:rsidR="00EA3E87" w:rsidRPr="00A014B9" w:rsidRDefault="00EA3E87" w:rsidP="00A6720B">
      <w:pPr>
        <w:pStyle w:val="PreformattatoHTML"/>
        <w:jc w:val="both"/>
        <w:rPr>
          <w:rFonts w:ascii="Times New Roman" w:hAnsi="Times New Roman" w:cs="Times New Roman"/>
          <w:sz w:val="22"/>
          <w:szCs w:val="22"/>
        </w:rPr>
      </w:pPr>
    </w:p>
    <w:p w:rsidR="003347B8" w:rsidRPr="00A014B9" w:rsidRDefault="00C11175" w:rsidP="00A6720B">
      <w:pPr>
        <w:pStyle w:val="xmsonormal"/>
        <w:widowControl w:val="0"/>
        <w:jc w:val="both"/>
      </w:pPr>
      <w:proofErr w:type="gramStart"/>
      <w:r w:rsidRPr="00A014B9">
        <w:t>I</w:t>
      </w:r>
      <w:r w:rsidR="0013155F" w:rsidRPr="00A014B9">
        <w:t xml:space="preserve">l </w:t>
      </w:r>
      <w:r w:rsidR="00A6720B" w:rsidRPr="00A014B9">
        <w:t xml:space="preserve"> benc</w:t>
      </w:r>
      <w:r w:rsidR="007F7B27" w:rsidRPr="00A014B9">
        <w:t>hmark</w:t>
      </w:r>
      <w:proofErr w:type="gramEnd"/>
      <w:r w:rsidR="003347B8" w:rsidRPr="00A014B9">
        <w:t xml:space="preserve"> strategico </w:t>
      </w:r>
      <w:r w:rsidR="00A6720B" w:rsidRPr="00A014B9">
        <w:t xml:space="preserve"> indicato ai gestori </w:t>
      </w:r>
      <w:r w:rsidR="007F7B27" w:rsidRPr="00A014B9">
        <w:t>risulta:</w:t>
      </w:r>
    </w:p>
    <w:tbl>
      <w:tblPr>
        <w:tblW w:w="7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97"/>
        <w:gridCol w:w="1855"/>
        <w:gridCol w:w="1133"/>
      </w:tblGrid>
      <w:tr w:rsidR="00A6720B" w:rsidRPr="00A014B9" w:rsidTr="00A569DA">
        <w:tc>
          <w:tcPr>
            <w:tcW w:w="1410"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jc w:val="center"/>
              <w:rPr>
                <w:bCs/>
                <w:sz w:val="20"/>
              </w:rPr>
            </w:pPr>
            <w:r w:rsidRPr="00A014B9">
              <w:rPr>
                <w:bCs/>
                <w:sz w:val="20"/>
              </w:rPr>
              <w:t>Asset class</w:t>
            </w:r>
          </w:p>
        </w:tc>
        <w:tc>
          <w:tcPr>
            <w:tcW w:w="3297"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jc w:val="center"/>
              <w:rPr>
                <w:bCs/>
                <w:sz w:val="20"/>
              </w:rPr>
            </w:pPr>
            <w:r w:rsidRPr="00A014B9">
              <w:rPr>
                <w:bCs/>
                <w:sz w:val="20"/>
              </w:rPr>
              <w:t>Indici</w:t>
            </w:r>
          </w:p>
        </w:tc>
        <w:tc>
          <w:tcPr>
            <w:tcW w:w="1855"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jc w:val="center"/>
              <w:rPr>
                <w:bCs/>
                <w:sz w:val="20"/>
              </w:rPr>
            </w:pPr>
            <w:proofErr w:type="spellStart"/>
            <w:r w:rsidRPr="00A014B9">
              <w:rPr>
                <w:bCs/>
                <w:sz w:val="20"/>
              </w:rPr>
              <w:t>Ticker</w:t>
            </w:r>
            <w:proofErr w:type="spellEnd"/>
            <w:r w:rsidRPr="00A014B9">
              <w:rPr>
                <w:bCs/>
                <w:sz w:val="20"/>
              </w:rPr>
              <w:t xml:space="preserve"> BB</w:t>
            </w:r>
          </w:p>
        </w:tc>
        <w:tc>
          <w:tcPr>
            <w:tcW w:w="1133" w:type="dxa"/>
            <w:tcBorders>
              <w:top w:val="single" w:sz="4" w:space="0" w:color="auto"/>
              <w:left w:val="single" w:sz="4" w:space="0" w:color="auto"/>
              <w:bottom w:val="single" w:sz="4" w:space="0" w:color="auto"/>
              <w:right w:val="single" w:sz="4" w:space="0" w:color="auto"/>
            </w:tcBorders>
            <w:hideMark/>
          </w:tcPr>
          <w:p w:rsidR="00A6720B" w:rsidRPr="00A014B9" w:rsidRDefault="00A6720B" w:rsidP="00A6720B">
            <w:pPr>
              <w:widowControl w:val="0"/>
              <w:jc w:val="center"/>
              <w:rPr>
                <w:bCs/>
                <w:sz w:val="20"/>
              </w:rPr>
            </w:pPr>
            <w:r w:rsidRPr="00A014B9">
              <w:rPr>
                <w:bCs/>
                <w:sz w:val="20"/>
              </w:rPr>
              <w:t xml:space="preserve">peso </w:t>
            </w:r>
          </w:p>
        </w:tc>
      </w:tr>
      <w:tr w:rsidR="00A6720B" w:rsidRPr="00A014B9" w:rsidTr="00A569DA">
        <w:tc>
          <w:tcPr>
            <w:tcW w:w="1410"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Azioni</w:t>
            </w:r>
          </w:p>
        </w:tc>
        <w:tc>
          <w:tcPr>
            <w:tcW w:w="3297"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lang w:val="en-US"/>
              </w:rPr>
            </w:pPr>
            <w:r w:rsidRPr="00A014B9">
              <w:rPr>
                <w:bCs/>
                <w:sz w:val="20"/>
                <w:lang w:val="en-US"/>
              </w:rPr>
              <w:t>MSCI ACWI Net Total Return EUR</w:t>
            </w:r>
          </w:p>
        </w:tc>
        <w:tc>
          <w:tcPr>
            <w:tcW w:w="1855"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lang w:val="en-US"/>
              </w:rPr>
            </w:pPr>
            <w:r w:rsidRPr="00A014B9">
              <w:rPr>
                <w:bCs/>
                <w:sz w:val="20"/>
                <w:lang w:val="en-US"/>
              </w:rPr>
              <w:t xml:space="preserve">NDEEWNR </w:t>
            </w:r>
            <w:proofErr w:type="spellStart"/>
            <w:r w:rsidRPr="00A014B9">
              <w:rPr>
                <w:bCs/>
                <w:sz w:val="20"/>
                <w:lang w:val="en-US"/>
              </w:rPr>
              <w:t>Inbdex</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jc w:val="center"/>
              <w:rPr>
                <w:bCs/>
                <w:sz w:val="20"/>
                <w:lang w:val="en-US"/>
              </w:rPr>
            </w:pPr>
            <w:r w:rsidRPr="00A014B9">
              <w:rPr>
                <w:bCs/>
                <w:sz w:val="20"/>
                <w:lang w:val="en-US"/>
              </w:rPr>
              <w:t>10,00%</w:t>
            </w:r>
          </w:p>
        </w:tc>
      </w:tr>
      <w:tr w:rsidR="00A6720B" w:rsidRPr="00A014B9" w:rsidTr="00A569DA">
        <w:tc>
          <w:tcPr>
            <w:tcW w:w="1410"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Obbligazioni</w:t>
            </w:r>
          </w:p>
        </w:tc>
        <w:tc>
          <w:tcPr>
            <w:tcW w:w="3297"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proofErr w:type="spellStart"/>
            <w:r w:rsidRPr="00A014B9">
              <w:rPr>
                <w:bCs/>
                <w:sz w:val="20"/>
              </w:rPr>
              <w:t>BarCap</w:t>
            </w:r>
            <w:proofErr w:type="spellEnd"/>
            <w:r w:rsidRPr="00A014B9">
              <w:rPr>
                <w:bCs/>
                <w:sz w:val="20"/>
              </w:rPr>
              <w:t xml:space="preserve"> Euro </w:t>
            </w:r>
            <w:proofErr w:type="spellStart"/>
            <w:r w:rsidRPr="00A014B9">
              <w:rPr>
                <w:bCs/>
                <w:sz w:val="20"/>
              </w:rPr>
              <w:t>Agg</w:t>
            </w:r>
            <w:proofErr w:type="spellEnd"/>
            <w:r w:rsidRPr="00A014B9">
              <w:rPr>
                <w:bCs/>
                <w:sz w:val="20"/>
              </w:rPr>
              <w:t>. 1-10</w:t>
            </w:r>
          </w:p>
        </w:tc>
        <w:tc>
          <w:tcPr>
            <w:tcW w:w="1855"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LEU1TREU Index</w:t>
            </w:r>
          </w:p>
        </w:tc>
        <w:tc>
          <w:tcPr>
            <w:tcW w:w="1133"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jc w:val="center"/>
              <w:rPr>
                <w:bCs/>
                <w:sz w:val="20"/>
              </w:rPr>
            </w:pPr>
            <w:r w:rsidRPr="00A014B9">
              <w:rPr>
                <w:bCs/>
                <w:sz w:val="20"/>
              </w:rPr>
              <w:t>60,00%</w:t>
            </w:r>
          </w:p>
        </w:tc>
      </w:tr>
      <w:tr w:rsidR="00A6720B" w:rsidRPr="00A014B9" w:rsidTr="00A569DA">
        <w:tc>
          <w:tcPr>
            <w:tcW w:w="1410"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lastRenderedPageBreak/>
              <w:t>Monetario</w:t>
            </w:r>
          </w:p>
        </w:tc>
        <w:tc>
          <w:tcPr>
            <w:tcW w:w="3297"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 xml:space="preserve">EONIA </w:t>
            </w:r>
            <w:proofErr w:type="spellStart"/>
            <w:r w:rsidRPr="00A014B9">
              <w:rPr>
                <w:bCs/>
                <w:sz w:val="20"/>
              </w:rPr>
              <w:t>Capitalization</w:t>
            </w:r>
            <w:proofErr w:type="spellEnd"/>
            <w:r w:rsidRPr="00A014B9">
              <w:rPr>
                <w:bCs/>
                <w:sz w:val="20"/>
              </w:rPr>
              <w:t xml:space="preserve"> 7d</w:t>
            </w:r>
          </w:p>
        </w:tc>
        <w:tc>
          <w:tcPr>
            <w:tcW w:w="1855"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EONCAPL7 Index</w:t>
            </w:r>
          </w:p>
        </w:tc>
        <w:tc>
          <w:tcPr>
            <w:tcW w:w="1133"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jc w:val="center"/>
              <w:rPr>
                <w:bCs/>
                <w:sz w:val="20"/>
              </w:rPr>
            </w:pPr>
            <w:r w:rsidRPr="00A014B9">
              <w:rPr>
                <w:bCs/>
                <w:sz w:val="20"/>
              </w:rPr>
              <w:t>28,00%</w:t>
            </w:r>
          </w:p>
        </w:tc>
      </w:tr>
      <w:tr w:rsidR="00A6720B" w:rsidRPr="00A014B9" w:rsidTr="00A569DA">
        <w:tc>
          <w:tcPr>
            <w:tcW w:w="1410"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Immobiliare</w:t>
            </w:r>
          </w:p>
        </w:tc>
        <w:tc>
          <w:tcPr>
            <w:tcW w:w="3297"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FTSE EPRA/NAREIT US</w:t>
            </w:r>
          </w:p>
        </w:tc>
        <w:tc>
          <w:tcPr>
            <w:tcW w:w="1855"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TRNUSU Index</w:t>
            </w:r>
          </w:p>
        </w:tc>
        <w:tc>
          <w:tcPr>
            <w:tcW w:w="1133"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jc w:val="center"/>
              <w:rPr>
                <w:bCs/>
                <w:sz w:val="20"/>
              </w:rPr>
            </w:pPr>
            <w:r w:rsidRPr="00A014B9">
              <w:rPr>
                <w:bCs/>
                <w:sz w:val="20"/>
              </w:rPr>
              <w:t>1,00%</w:t>
            </w:r>
          </w:p>
        </w:tc>
      </w:tr>
      <w:tr w:rsidR="00A6720B" w:rsidRPr="00A014B9" w:rsidTr="00A569DA">
        <w:tc>
          <w:tcPr>
            <w:tcW w:w="1410"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proofErr w:type="spellStart"/>
            <w:r w:rsidRPr="00A014B9">
              <w:rPr>
                <w:bCs/>
                <w:sz w:val="20"/>
              </w:rPr>
              <w:t>Commodities</w:t>
            </w:r>
            <w:proofErr w:type="spellEnd"/>
          </w:p>
        </w:tc>
        <w:tc>
          <w:tcPr>
            <w:tcW w:w="3297"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S&amp;P GSCI</w:t>
            </w:r>
          </w:p>
        </w:tc>
        <w:tc>
          <w:tcPr>
            <w:tcW w:w="1855"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SPGCCITR Index</w:t>
            </w:r>
          </w:p>
        </w:tc>
        <w:tc>
          <w:tcPr>
            <w:tcW w:w="1133"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jc w:val="center"/>
              <w:rPr>
                <w:bCs/>
                <w:sz w:val="20"/>
              </w:rPr>
            </w:pPr>
            <w:r w:rsidRPr="00A014B9">
              <w:rPr>
                <w:bCs/>
                <w:sz w:val="20"/>
              </w:rPr>
              <w:t>1,00%</w:t>
            </w:r>
          </w:p>
        </w:tc>
      </w:tr>
      <w:tr w:rsidR="00A6720B" w:rsidRPr="00A014B9" w:rsidTr="00A569DA">
        <w:trPr>
          <w:trHeight w:val="197"/>
        </w:trPr>
        <w:tc>
          <w:tcPr>
            <w:tcW w:w="1410"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rPr>
                <w:bCs/>
                <w:sz w:val="20"/>
              </w:rPr>
            </w:pPr>
            <w:r w:rsidRPr="00A014B9">
              <w:rPr>
                <w:bCs/>
                <w:sz w:val="20"/>
              </w:rPr>
              <w:t>TOTALE</w:t>
            </w:r>
          </w:p>
        </w:tc>
        <w:tc>
          <w:tcPr>
            <w:tcW w:w="3297" w:type="dxa"/>
            <w:tcBorders>
              <w:top w:val="single" w:sz="4" w:space="0" w:color="auto"/>
              <w:left w:val="single" w:sz="4" w:space="0" w:color="auto"/>
              <w:bottom w:val="single" w:sz="4" w:space="0" w:color="auto"/>
              <w:right w:val="single" w:sz="4" w:space="0" w:color="auto"/>
            </w:tcBorders>
          </w:tcPr>
          <w:p w:rsidR="00A6720B" w:rsidRPr="00A014B9" w:rsidRDefault="00A6720B" w:rsidP="003347B8">
            <w:pPr>
              <w:widowControl w:val="0"/>
              <w:rPr>
                <w:bCs/>
                <w:sz w:val="20"/>
              </w:rPr>
            </w:pPr>
          </w:p>
        </w:tc>
        <w:tc>
          <w:tcPr>
            <w:tcW w:w="1855" w:type="dxa"/>
            <w:tcBorders>
              <w:top w:val="single" w:sz="4" w:space="0" w:color="auto"/>
              <w:left w:val="single" w:sz="4" w:space="0" w:color="auto"/>
              <w:bottom w:val="single" w:sz="4" w:space="0" w:color="auto"/>
              <w:right w:val="single" w:sz="4" w:space="0" w:color="auto"/>
            </w:tcBorders>
          </w:tcPr>
          <w:p w:rsidR="00A6720B" w:rsidRPr="00A014B9" w:rsidRDefault="00A6720B" w:rsidP="003347B8">
            <w:pPr>
              <w:widowControl w:val="0"/>
              <w:rPr>
                <w:bCs/>
                <w:sz w:val="20"/>
              </w:rPr>
            </w:pPr>
          </w:p>
        </w:tc>
        <w:tc>
          <w:tcPr>
            <w:tcW w:w="1133" w:type="dxa"/>
            <w:tcBorders>
              <w:top w:val="single" w:sz="4" w:space="0" w:color="auto"/>
              <w:left w:val="single" w:sz="4" w:space="0" w:color="auto"/>
              <w:bottom w:val="single" w:sz="4" w:space="0" w:color="auto"/>
              <w:right w:val="single" w:sz="4" w:space="0" w:color="auto"/>
            </w:tcBorders>
            <w:hideMark/>
          </w:tcPr>
          <w:p w:rsidR="00A6720B" w:rsidRPr="00A014B9" w:rsidRDefault="00A6720B" w:rsidP="003347B8">
            <w:pPr>
              <w:widowControl w:val="0"/>
              <w:jc w:val="center"/>
              <w:rPr>
                <w:bCs/>
                <w:sz w:val="20"/>
              </w:rPr>
            </w:pPr>
            <w:r w:rsidRPr="00A014B9">
              <w:rPr>
                <w:bCs/>
                <w:sz w:val="20"/>
              </w:rPr>
              <w:t>100,00%</w:t>
            </w:r>
          </w:p>
        </w:tc>
      </w:tr>
    </w:tbl>
    <w:p w:rsidR="003347B8" w:rsidRPr="00A014B9" w:rsidRDefault="003347B8" w:rsidP="003347B8">
      <w:pPr>
        <w:pStyle w:val="Delibera"/>
        <w:tabs>
          <w:tab w:val="clear" w:pos="567"/>
        </w:tabs>
        <w:spacing w:line="240" w:lineRule="auto"/>
        <w:rPr>
          <w:szCs w:val="24"/>
        </w:rPr>
      </w:pPr>
    </w:p>
    <w:p w:rsidR="001B78B6" w:rsidRPr="00A014B9" w:rsidRDefault="00C877F1" w:rsidP="00892165">
      <w:pPr>
        <w:pStyle w:val="Style3"/>
        <w:kinsoku w:val="0"/>
        <w:autoSpaceDE/>
        <w:autoSpaceDN/>
        <w:ind w:right="74"/>
        <w:rPr>
          <w:rStyle w:val="CharacterStyle1"/>
        </w:rPr>
      </w:pPr>
      <w:r w:rsidRPr="00A014B9">
        <w:rPr>
          <w:rStyle w:val="CharacterStyle1"/>
        </w:rPr>
        <w:t>Per l’esercizio 202</w:t>
      </w:r>
      <w:r w:rsidR="00C11175" w:rsidRPr="00A014B9">
        <w:rPr>
          <w:rStyle w:val="CharacterStyle1"/>
        </w:rPr>
        <w:t>1 si prevede di mantenere l’attuale impostazione strategica, salvo</w:t>
      </w:r>
      <w:r w:rsidR="00892165" w:rsidRPr="00A014B9">
        <w:rPr>
          <w:rStyle w:val="CharacterStyle1"/>
        </w:rPr>
        <w:t xml:space="preserve"> </w:t>
      </w:r>
      <w:proofErr w:type="gramStart"/>
      <w:r w:rsidR="00892165" w:rsidRPr="00A014B9">
        <w:rPr>
          <w:rStyle w:val="CharacterStyle1"/>
        </w:rPr>
        <w:t xml:space="preserve">eventuali </w:t>
      </w:r>
      <w:r w:rsidR="00C11175" w:rsidRPr="00A014B9">
        <w:rPr>
          <w:rStyle w:val="CharacterStyle1"/>
        </w:rPr>
        <w:t xml:space="preserve"> interven</w:t>
      </w:r>
      <w:r w:rsidR="00892165" w:rsidRPr="00A014B9">
        <w:rPr>
          <w:rStyle w:val="CharacterStyle1"/>
        </w:rPr>
        <w:t>ti</w:t>
      </w:r>
      <w:proofErr w:type="gramEnd"/>
      <w:r w:rsidR="00892165" w:rsidRPr="00A014B9">
        <w:rPr>
          <w:rStyle w:val="CharacterStyle1"/>
        </w:rPr>
        <w:t xml:space="preserve"> per opportunità di natura   tattica.</w:t>
      </w:r>
    </w:p>
    <w:p w:rsidR="00B46B39" w:rsidRPr="00A014B9" w:rsidRDefault="00B46B39" w:rsidP="00566900"/>
    <w:bookmarkEnd w:id="1"/>
    <w:p w:rsidR="004F10B4" w:rsidRPr="00A014B9" w:rsidRDefault="004F10B4" w:rsidP="00566900"/>
    <w:p w:rsidR="00D1583B" w:rsidRPr="006F1718" w:rsidRDefault="00566900" w:rsidP="00566900">
      <w:pPr>
        <w:jc w:val="both"/>
        <w:rPr>
          <w:b/>
          <w:bCs/>
          <w:u w:val="single"/>
        </w:rPr>
      </w:pPr>
      <w:r w:rsidRPr="006F1718">
        <w:rPr>
          <w:b/>
          <w:bCs/>
          <w:u w:val="single"/>
        </w:rPr>
        <w:t>Attività istituzionale</w:t>
      </w:r>
    </w:p>
    <w:p w:rsidR="000C4DB6" w:rsidRPr="00A014B9" w:rsidRDefault="000C4DB6" w:rsidP="000C4DB6">
      <w:pPr>
        <w:pStyle w:val="Delibera"/>
        <w:widowControl/>
        <w:tabs>
          <w:tab w:val="left" w:pos="0"/>
        </w:tabs>
        <w:spacing w:line="240" w:lineRule="auto"/>
        <w:rPr>
          <w:szCs w:val="24"/>
        </w:rPr>
      </w:pPr>
      <w:r w:rsidRPr="00A014B9">
        <w:rPr>
          <w:szCs w:val="24"/>
        </w:rPr>
        <w:t xml:space="preserve">Permangono i </w:t>
      </w:r>
      <w:r w:rsidR="00A569DA" w:rsidRPr="00A014B9">
        <w:rPr>
          <w:szCs w:val="24"/>
        </w:rPr>
        <w:t xml:space="preserve">quattro </w:t>
      </w:r>
      <w:r w:rsidRPr="00A014B9">
        <w:rPr>
          <w:szCs w:val="24"/>
        </w:rPr>
        <w:t xml:space="preserve">settori di intervento individuati nel Piano di </w:t>
      </w:r>
      <w:r w:rsidR="00371A24" w:rsidRPr="00A014B9">
        <w:rPr>
          <w:szCs w:val="24"/>
        </w:rPr>
        <w:t xml:space="preserve">Programmazione </w:t>
      </w:r>
      <w:proofErr w:type="gramStart"/>
      <w:r w:rsidR="00371A24" w:rsidRPr="00A014B9">
        <w:rPr>
          <w:szCs w:val="24"/>
        </w:rPr>
        <w:t>Pluriennale  2019</w:t>
      </w:r>
      <w:proofErr w:type="gramEnd"/>
      <w:r w:rsidR="00371A24" w:rsidRPr="00A014B9">
        <w:rPr>
          <w:szCs w:val="24"/>
        </w:rPr>
        <w:t>-2021</w:t>
      </w:r>
      <w:r w:rsidRPr="00A014B9">
        <w:rPr>
          <w:szCs w:val="24"/>
        </w:rPr>
        <w:t xml:space="preserve"> che sono:</w:t>
      </w:r>
    </w:p>
    <w:p w:rsidR="000C4DB6" w:rsidRPr="00A014B9" w:rsidRDefault="000C4DB6" w:rsidP="000C4DB6">
      <w:pPr>
        <w:pStyle w:val="Delibera"/>
        <w:widowControl/>
        <w:numPr>
          <w:ilvl w:val="0"/>
          <w:numId w:val="16"/>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ind w:left="426" w:hanging="426"/>
        <w:rPr>
          <w:szCs w:val="24"/>
        </w:rPr>
      </w:pPr>
      <w:r w:rsidRPr="00A014B9">
        <w:rPr>
          <w:szCs w:val="24"/>
        </w:rPr>
        <w:t>Arte, attività e beni culturali</w:t>
      </w:r>
      <w:r w:rsidR="00DD4048" w:rsidRPr="00A014B9">
        <w:rPr>
          <w:szCs w:val="24"/>
        </w:rPr>
        <w:t>;</w:t>
      </w:r>
    </w:p>
    <w:p w:rsidR="000C4DB6" w:rsidRPr="00A014B9" w:rsidRDefault="000C4DB6" w:rsidP="000C4DB6">
      <w:pPr>
        <w:pStyle w:val="Paragrafoelenco"/>
        <w:numPr>
          <w:ilvl w:val="0"/>
          <w:numId w:val="16"/>
        </w:numPr>
        <w:ind w:left="426" w:hanging="426"/>
      </w:pPr>
      <w:r w:rsidRPr="00A014B9">
        <w:t>Educazione, istruzione e formazione, incluso l’acquisto di prodotti editoriali per la scuola;</w:t>
      </w:r>
    </w:p>
    <w:p w:rsidR="000C4DB6" w:rsidRPr="00A014B9" w:rsidRDefault="000C4DB6" w:rsidP="000C4DB6">
      <w:pPr>
        <w:pStyle w:val="Paragrafoelenco"/>
        <w:numPr>
          <w:ilvl w:val="0"/>
          <w:numId w:val="16"/>
        </w:numPr>
        <w:ind w:left="426" w:hanging="426"/>
      </w:pPr>
      <w:r w:rsidRPr="00A014B9">
        <w:t>Salute pubblica, medicina preventiva e riabilitativa</w:t>
      </w:r>
      <w:r w:rsidR="00DD4048" w:rsidRPr="00A014B9">
        <w:t>;</w:t>
      </w:r>
    </w:p>
    <w:p w:rsidR="000C4DB6" w:rsidRPr="00A014B9" w:rsidRDefault="000C4DB6" w:rsidP="000C4DB6">
      <w:pPr>
        <w:pStyle w:val="Paragrafoelenco"/>
        <w:numPr>
          <w:ilvl w:val="0"/>
          <w:numId w:val="16"/>
        </w:numPr>
        <w:ind w:left="426" w:hanging="426"/>
      </w:pPr>
      <w:r w:rsidRPr="00A014B9">
        <w:t>Volontar</w:t>
      </w:r>
      <w:r w:rsidR="00DD4048" w:rsidRPr="00A014B9">
        <w:t>iato, filantropia e beneficenza;</w:t>
      </w:r>
    </w:p>
    <w:p w:rsidR="00D237E4" w:rsidRPr="00A014B9" w:rsidRDefault="00D237E4" w:rsidP="000C4DB6">
      <w:pPr>
        <w:pStyle w:val="Delibera"/>
        <w:widowControl/>
        <w:tabs>
          <w:tab w:val="clear" w:pos="567"/>
          <w:tab w:val="left" w:pos="708"/>
        </w:tabs>
        <w:overflowPunct/>
        <w:autoSpaceDE/>
        <w:adjustRightInd/>
        <w:spacing w:line="240" w:lineRule="auto"/>
        <w:rPr>
          <w:szCs w:val="24"/>
        </w:rPr>
      </w:pPr>
    </w:p>
    <w:p w:rsidR="000C4DB6" w:rsidRPr="00A014B9" w:rsidRDefault="000C4DB6" w:rsidP="000C4DB6">
      <w:pPr>
        <w:pStyle w:val="Delibera"/>
        <w:widowControl/>
        <w:tabs>
          <w:tab w:val="clear" w:pos="567"/>
          <w:tab w:val="left" w:pos="708"/>
        </w:tabs>
        <w:overflowPunct/>
        <w:autoSpaceDE/>
        <w:adjustRightInd/>
        <w:spacing w:line="240" w:lineRule="auto"/>
        <w:rPr>
          <w:szCs w:val="24"/>
        </w:rPr>
      </w:pPr>
      <w:r w:rsidRPr="00A014B9">
        <w:rPr>
          <w:szCs w:val="24"/>
        </w:rPr>
        <w:t xml:space="preserve">oltre alla </w:t>
      </w:r>
      <w:proofErr w:type="gramStart"/>
      <w:r w:rsidRPr="00A014B9">
        <w:rPr>
          <w:szCs w:val="24"/>
        </w:rPr>
        <w:t>conferma  degli</w:t>
      </w:r>
      <w:proofErr w:type="gramEnd"/>
      <w:r w:rsidRPr="00A014B9">
        <w:rPr>
          <w:szCs w:val="24"/>
        </w:rPr>
        <w:t xml:space="preserve"> indirizzi generali e degli  obiettivi di fondo </w:t>
      </w:r>
      <w:r w:rsidR="00D237E4" w:rsidRPr="00A014B9">
        <w:rPr>
          <w:szCs w:val="24"/>
        </w:rPr>
        <w:t xml:space="preserve">già </w:t>
      </w:r>
      <w:r w:rsidRPr="00A014B9">
        <w:rPr>
          <w:szCs w:val="24"/>
        </w:rPr>
        <w:t>prefissati</w:t>
      </w:r>
      <w:r w:rsidR="00D237E4" w:rsidRPr="00A014B9">
        <w:rPr>
          <w:szCs w:val="24"/>
        </w:rPr>
        <w:t xml:space="preserve"> nel Piano ed a cui si rimanda</w:t>
      </w:r>
      <w:r w:rsidRPr="00A014B9">
        <w:rPr>
          <w:szCs w:val="24"/>
        </w:rPr>
        <w:t>.</w:t>
      </w:r>
    </w:p>
    <w:p w:rsidR="000C4DB6" w:rsidRPr="00A014B9" w:rsidRDefault="000C4DB6" w:rsidP="00B46B39">
      <w:pPr>
        <w:pStyle w:val="Delibera"/>
        <w:widowControl/>
        <w:tabs>
          <w:tab w:val="clear" w:pos="567"/>
          <w:tab w:val="left" w:pos="708"/>
        </w:tabs>
        <w:overflowPunct/>
        <w:autoSpaceDE/>
        <w:adjustRightInd/>
        <w:spacing w:line="240" w:lineRule="auto"/>
        <w:rPr>
          <w:szCs w:val="24"/>
        </w:rPr>
      </w:pPr>
    </w:p>
    <w:p w:rsidR="00581C1A" w:rsidRPr="00A014B9" w:rsidRDefault="00D13B16" w:rsidP="00D07E01">
      <w:pPr>
        <w:autoSpaceDE w:val="0"/>
        <w:autoSpaceDN w:val="0"/>
        <w:adjustRightInd w:val="0"/>
      </w:pPr>
      <w:r w:rsidRPr="00A014B9">
        <w:t>Fra le iniziative di maggior rilievo</w:t>
      </w:r>
      <w:r w:rsidR="00371A24" w:rsidRPr="00A014B9">
        <w:t xml:space="preserve"> </w:t>
      </w:r>
      <w:r w:rsidR="00DD4048" w:rsidRPr="00A014B9">
        <w:t xml:space="preserve">si </w:t>
      </w:r>
      <w:proofErr w:type="gramStart"/>
      <w:r w:rsidR="00DD4048" w:rsidRPr="00A014B9">
        <w:t xml:space="preserve">prevede </w:t>
      </w:r>
      <w:r w:rsidRPr="00A014B9">
        <w:t>:</w:t>
      </w:r>
      <w:proofErr w:type="gramEnd"/>
      <w:r w:rsidRPr="00A014B9">
        <w:t xml:space="preserve"> </w:t>
      </w:r>
    </w:p>
    <w:p w:rsidR="00D26A0C" w:rsidRPr="00A014B9" w:rsidRDefault="00D26A0C" w:rsidP="00C91BEE">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pPr>
      <w:bookmarkStart w:id="2" w:name="_Hlk52273547"/>
    </w:p>
    <w:p w:rsidR="00E32B58" w:rsidRPr="00A014B9" w:rsidRDefault="00E32B58" w:rsidP="00E32B58">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rPr>
          <w:szCs w:val="24"/>
          <w:u w:val="single"/>
        </w:rPr>
      </w:pPr>
      <w:r w:rsidRPr="00A014B9">
        <w:rPr>
          <w:szCs w:val="24"/>
          <w:u w:val="single"/>
        </w:rPr>
        <w:t xml:space="preserve">Museo della Ceramica della Tuscia </w:t>
      </w:r>
    </w:p>
    <w:p w:rsidR="00E32B58" w:rsidRPr="00A014B9" w:rsidRDefault="00E32B58" w:rsidP="00E32B58">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rPr>
          <w:i/>
          <w:szCs w:val="24"/>
        </w:rPr>
      </w:pPr>
      <w:r w:rsidRPr="00A014B9">
        <w:rPr>
          <w:i/>
          <w:szCs w:val="24"/>
        </w:rPr>
        <w:t>(Settore Arte e Cultura)</w:t>
      </w:r>
    </w:p>
    <w:p w:rsidR="00E32B58" w:rsidRPr="00A014B9" w:rsidRDefault="00E32B58" w:rsidP="002070E0">
      <w:pPr>
        <w:jc w:val="both"/>
      </w:pPr>
      <w:r w:rsidRPr="00A014B9">
        <w:t xml:space="preserve">Le attività del Museo della Ceramica della </w:t>
      </w:r>
      <w:proofErr w:type="gramStart"/>
      <w:r w:rsidRPr="00A014B9">
        <w:t>Tuscia  continueranno</w:t>
      </w:r>
      <w:proofErr w:type="gramEnd"/>
      <w:r w:rsidRPr="00A014B9">
        <w:t xml:space="preserve"> ad essere gestite dalla Fondazione  attraverso la propria impresa strumentale    assicurando la  copertura dei costi .  Al sostegno delle attività del Museo partecipa anche con un proprio contributo il Comune di Viterbo secondo quanto previsto dall’apposito Protocollo d’intesa. </w:t>
      </w:r>
    </w:p>
    <w:p w:rsidR="00E32B58" w:rsidRPr="00A014B9" w:rsidRDefault="00E32B58" w:rsidP="00E32B58">
      <w:pPr>
        <w:pStyle w:val="Titolo1"/>
        <w:shd w:val="clear" w:color="auto" w:fill="FFFFFF"/>
        <w:spacing w:after="150"/>
        <w:ind w:left="0" w:firstLine="0"/>
        <w:rPr>
          <w:bCs w:val="0"/>
          <w:i w:val="0"/>
        </w:rPr>
      </w:pPr>
      <w:r w:rsidRPr="00A014B9">
        <w:rPr>
          <w:i w:val="0"/>
        </w:rPr>
        <w:t xml:space="preserve">Per la realizzazione e lo </w:t>
      </w:r>
      <w:proofErr w:type="gramStart"/>
      <w:r w:rsidRPr="00A014B9">
        <w:rPr>
          <w:i w:val="0"/>
        </w:rPr>
        <w:t>sviluppo  di</w:t>
      </w:r>
      <w:proofErr w:type="gramEnd"/>
      <w:r w:rsidRPr="00A014B9">
        <w:rPr>
          <w:i w:val="0"/>
        </w:rPr>
        <w:t xml:space="preserve"> progetti ed iniziative cultuali si proseguirà nel solco già tracciato dando  piena attuazione agli accordi che legano il Museo a   significative realtà e presidi cultuali del Territorio quali il DISTU dell’Università degli Studi della Tuscia, la Biblioteca Consorziale di Viterbo  e il Consorzio  e il  Sistema Integrato Servizi Culturali Area Etrusco </w:t>
      </w:r>
      <w:proofErr w:type="spellStart"/>
      <w:r w:rsidRPr="00A014B9">
        <w:rPr>
          <w:i w:val="0"/>
        </w:rPr>
        <w:t>Cimina</w:t>
      </w:r>
      <w:proofErr w:type="spellEnd"/>
      <w:r w:rsidRPr="00A014B9">
        <w:rPr>
          <w:i w:val="0"/>
        </w:rPr>
        <w:t>.</w:t>
      </w:r>
    </w:p>
    <w:p w:rsidR="00584790" w:rsidRPr="00A014B9" w:rsidRDefault="00584790" w:rsidP="002F59CC">
      <w:pPr>
        <w:jc w:val="both"/>
      </w:pPr>
    </w:p>
    <w:p w:rsidR="002F59CC" w:rsidRPr="00A014B9" w:rsidRDefault="0038384B" w:rsidP="000B40DA">
      <w:pPr>
        <w:jc w:val="both"/>
      </w:pPr>
      <w:r w:rsidRPr="00A014B9">
        <w:t xml:space="preserve">Le </w:t>
      </w:r>
      <w:proofErr w:type="gramStart"/>
      <w:r w:rsidRPr="00A014B9">
        <w:t>principali  iniziative</w:t>
      </w:r>
      <w:proofErr w:type="gramEnd"/>
      <w:r w:rsidR="00892165" w:rsidRPr="00A014B9">
        <w:t xml:space="preserve"> </w:t>
      </w:r>
      <w:r w:rsidR="00A569DA" w:rsidRPr="00A014B9">
        <w:t xml:space="preserve"> previste</w:t>
      </w:r>
      <w:r w:rsidR="00936521" w:rsidRPr="00A014B9">
        <w:t>,</w:t>
      </w:r>
      <w:r w:rsidR="00A569DA" w:rsidRPr="00A014B9">
        <w:t xml:space="preserve"> </w:t>
      </w:r>
      <w:r w:rsidR="00584790" w:rsidRPr="00A014B9">
        <w:t xml:space="preserve">nel rispetto delle </w:t>
      </w:r>
      <w:r w:rsidR="00892165" w:rsidRPr="00A014B9">
        <w:t xml:space="preserve">limitazioni stabilite per il contenimento del contagio da </w:t>
      </w:r>
      <w:proofErr w:type="spellStart"/>
      <w:r w:rsidR="00892165" w:rsidRPr="00A014B9">
        <w:t>Covid</w:t>
      </w:r>
      <w:proofErr w:type="spellEnd"/>
      <w:r w:rsidR="00892165" w:rsidRPr="00A014B9">
        <w:t xml:space="preserve"> – 19</w:t>
      </w:r>
      <w:r w:rsidR="00366EA0" w:rsidRPr="00A014B9">
        <w:t>,</w:t>
      </w:r>
      <w:r w:rsidR="00892165" w:rsidRPr="00A014B9">
        <w:t xml:space="preserve"> </w:t>
      </w:r>
      <w:r w:rsidR="00936521" w:rsidRPr="00A014B9">
        <w:t xml:space="preserve">potenziando modalità di fruizione anche a distanza </w:t>
      </w:r>
      <w:r w:rsidR="00892165" w:rsidRPr="00A014B9">
        <w:t xml:space="preserve">sono  </w:t>
      </w:r>
      <w:r w:rsidR="000E2C18" w:rsidRPr="00A014B9">
        <w:t>:</w:t>
      </w:r>
      <w:r w:rsidRPr="00A014B9">
        <w:t xml:space="preserve"> </w:t>
      </w:r>
    </w:p>
    <w:p w:rsidR="0038384B" w:rsidRPr="00A014B9" w:rsidRDefault="002A4FBD" w:rsidP="0038384B">
      <w:pPr>
        <w:widowControl w:val="0"/>
        <w:numPr>
          <w:ilvl w:val="0"/>
          <w:numId w:val="20"/>
        </w:numPr>
        <w:overflowPunct w:val="0"/>
        <w:autoSpaceDE w:val="0"/>
        <w:autoSpaceDN w:val="0"/>
        <w:adjustRightInd w:val="0"/>
        <w:jc w:val="both"/>
      </w:pPr>
      <w:r w:rsidRPr="00A014B9">
        <w:t>n.</w:t>
      </w:r>
      <w:r w:rsidR="00366EA0" w:rsidRPr="00A014B9">
        <w:t xml:space="preserve"> </w:t>
      </w:r>
      <w:r w:rsidRPr="00A014B9">
        <w:t>2</w:t>
      </w:r>
      <w:r w:rsidR="00892165" w:rsidRPr="00A014B9">
        <w:t xml:space="preserve"> </w:t>
      </w:r>
      <w:r w:rsidR="00A969E3" w:rsidRPr="00A014B9">
        <w:t xml:space="preserve">  mostre temporanee</w:t>
      </w:r>
      <w:r w:rsidR="00892165" w:rsidRPr="00A014B9">
        <w:t xml:space="preserve"> di </w:t>
      </w:r>
      <w:r w:rsidR="00A969E3" w:rsidRPr="00A014B9">
        <w:t xml:space="preserve">  </w:t>
      </w:r>
      <w:r w:rsidR="0038384B" w:rsidRPr="00A014B9">
        <w:t>ceramiche</w:t>
      </w:r>
      <w:r w:rsidR="00892165" w:rsidRPr="00A014B9">
        <w:t xml:space="preserve"> </w:t>
      </w:r>
      <w:proofErr w:type="gramStart"/>
      <w:r w:rsidR="00892165" w:rsidRPr="00A014B9">
        <w:t xml:space="preserve">antiche </w:t>
      </w:r>
      <w:r w:rsidR="004B03BE" w:rsidRPr="00A014B9">
        <w:t xml:space="preserve"> </w:t>
      </w:r>
      <w:r w:rsidRPr="00A014B9">
        <w:t>provenienti</w:t>
      </w:r>
      <w:proofErr w:type="gramEnd"/>
      <w:r w:rsidRPr="00A014B9">
        <w:t xml:space="preserve"> da scavi nel territorio della provincia di Viterbo ( Bagnoregio e Viterbo) </w:t>
      </w:r>
      <w:r w:rsidR="0038384B" w:rsidRPr="00A014B9">
        <w:t>;</w:t>
      </w:r>
    </w:p>
    <w:p w:rsidR="0038384B" w:rsidRPr="00A014B9" w:rsidRDefault="0038384B" w:rsidP="00584790">
      <w:pPr>
        <w:widowControl w:val="0"/>
        <w:numPr>
          <w:ilvl w:val="0"/>
          <w:numId w:val="20"/>
        </w:numPr>
        <w:overflowPunct w:val="0"/>
        <w:autoSpaceDE w:val="0"/>
        <w:autoSpaceDN w:val="0"/>
        <w:adjustRightInd w:val="0"/>
        <w:jc w:val="both"/>
      </w:pPr>
      <w:proofErr w:type="gramStart"/>
      <w:r w:rsidRPr="00A014B9">
        <w:t>aggiornare  l</w:t>
      </w:r>
      <w:r w:rsidR="004F10B4" w:rsidRPr="00A014B9">
        <w:t>e</w:t>
      </w:r>
      <w:proofErr w:type="gramEnd"/>
      <w:r w:rsidR="004F10B4" w:rsidRPr="00A014B9">
        <w:t xml:space="preserve"> </w:t>
      </w:r>
      <w:r w:rsidRPr="00A014B9">
        <w:t xml:space="preserve">attività di laboratorio </w:t>
      </w:r>
      <w:r w:rsidR="00584790" w:rsidRPr="00A014B9">
        <w:t xml:space="preserve">ed outdoor </w:t>
      </w:r>
      <w:r w:rsidRPr="00A014B9">
        <w:t>rivolt</w:t>
      </w:r>
      <w:r w:rsidR="004F10B4" w:rsidRPr="00A014B9">
        <w:t>e</w:t>
      </w:r>
      <w:r w:rsidRPr="00A014B9">
        <w:t xml:space="preserve">  in particolare  alle scuole della provincia</w:t>
      </w:r>
      <w:r w:rsidR="00584790" w:rsidRPr="00A014B9">
        <w:t>,</w:t>
      </w:r>
      <w:r w:rsidRPr="00A014B9">
        <w:t xml:space="preserve">   alle famiglie</w:t>
      </w:r>
      <w:r w:rsidR="00584790" w:rsidRPr="00A014B9">
        <w:t xml:space="preserve"> ed quanti  con difficoltà a poter raggiungere la sede del Museo</w:t>
      </w:r>
      <w:r w:rsidRPr="00A014B9">
        <w:t xml:space="preserve">; </w:t>
      </w:r>
    </w:p>
    <w:p w:rsidR="00584790" w:rsidRPr="00A014B9" w:rsidRDefault="0038384B" w:rsidP="0038384B">
      <w:pPr>
        <w:widowControl w:val="0"/>
        <w:numPr>
          <w:ilvl w:val="0"/>
          <w:numId w:val="20"/>
        </w:numPr>
        <w:overflowPunct w:val="0"/>
        <w:autoSpaceDE w:val="0"/>
        <w:autoSpaceDN w:val="0"/>
        <w:adjustRightInd w:val="0"/>
        <w:jc w:val="both"/>
      </w:pPr>
      <w:r w:rsidRPr="00A014B9">
        <w:t xml:space="preserve">eventi </w:t>
      </w:r>
      <w:proofErr w:type="gramStart"/>
      <w:r w:rsidRPr="00A014B9">
        <w:t xml:space="preserve">culturali </w:t>
      </w:r>
      <w:r w:rsidR="00584790" w:rsidRPr="00A014B9">
        <w:t xml:space="preserve"> con</w:t>
      </w:r>
      <w:proofErr w:type="gramEnd"/>
      <w:r w:rsidR="00584790" w:rsidRPr="00A014B9">
        <w:t xml:space="preserve"> visite guidate a tema</w:t>
      </w:r>
      <w:r w:rsidR="00366EA0" w:rsidRPr="00A014B9">
        <w:t>;</w:t>
      </w:r>
      <w:r w:rsidR="00584790" w:rsidRPr="00A014B9">
        <w:t xml:space="preserve">  </w:t>
      </w:r>
    </w:p>
    <w:p w:rsidR="0038384B" w:rsidRPr="00A014B9" w:rsidRDefault="00584790" w:rsidP="0038384B">
      <w:pPr>
        <w:widowControl w:val="0"/>
        <w:numPr>
          <w:ilvl w:val="0"/>
          <w:numId w:val="20"/>
        </w:numPr>
        <w:overflowPunct w:val="0"/>
        <w:autoSpaceDE w:val="0"/>
        <w:autoSpaceDN w:val="0"/>
        <w:adjustRightInd w:val="0"/>
        <w:jc w:val="both"/>
      </w:pPr>
      <w:proofErr w:type="gramStart"/>
      <w:r w:rsidRPr="00A014B9">
        <w:t xml:space="preserve">ospitare </w:t>
      </w:r>
      <w:r w:rsidR="0038384B" w:rsidRPr="00A014B9">
        <w:t xml:space="preserve"> incontri</w:t>
      </w:r>
      <w:proofErr w:type="gramEnd"/>
      <w:r w:rsidR="0038384B" w:rsidRPr="00A014B9">
        <w:t>, seminari, concerti, ecc...</w:t>
      </w:r>
    </w:p>
    <w:p w:rsidR="00366EA0" w:rsidRPr="00A014B9" w:rsidRDefault="00366EA0" w:rsidP="00366EA0">
      <w:pPr>
        <w:pStyle w:val="Griglia"/>
        <w:numPr>
          <w:ilvl w:val="0"/>
          <w:numId w:val="20"/>
        </w:numPr>
        <w:spacing w:line="240" w:lineRule="auto"/>
        <w:jc w:val="both"/>
        <w:rPr>
          <w:sz w:val="24"/>
          <w:szCs w:val="24"/>
          <w:shd w:val="clear" w:color="auto" w:fill="FFFFFF"/>
        </w:rPr>
      </w:pPr>
      <w:r w:rsidRPr="00A014B9">
        <w:rPr>
          <w:sz w:val="24"/>
          <w:szCs w:val="24"/>
        </w:rPr>
        <w:t xml:space="preserve">arricchimento </w:t>
      </w:r>
      <w:proofErr w:type="gramStart"/>
      <w:r w:rsidRPr="00A014B9">
        <w:rPr>
          <w:sz w:val="24"/>
          <w:szCs w:val="24"/>
        </w:rPr>
        <w:t>delle  collezioni</w:t>
      </w:r>
      <w:proofErr w:type="gramEnd"/>
      <w:r w:rsidRPr="00A014B9">
        <w:rPr>
          <w:sz w:val="24"/>
          <w:szCs w:val="24"/>
        </w:rPr>
        <w:t xml:space="preserve"> sia attraverso il deposito di reperti già esposti  in precedenti mostre temporanee  sia   attraverso nuove  acquisizioni.</w:t>
      </w:r>
    </w:p>
    <w:p w:rsidR="00366EA0" w:rsidRPr="00A014B9" w:rsidRDefault="00366EA0" w:rsidP="00D237E4">
      <w:pPr>
        <w:widowControl w:val="0"/>
      </w:pPr>
    </w:p>
    <w:p w:rsidR="00D237E4" w:rsidRPr="00A014B9" w:rsidRDefault="00087C27" w:rsidP="00087C27">
      <w:pPr>
        <w:widowControl w:val="0"/>
        <w:jc w:val="both"/>
        <w:rPr>
          <w:bCs/>
        </w:rPr>
      </w:pPr>
      <w:r w:rsidRPr="00A014B9">
        <w:rPr>
          <w:bCs/>
        </w:rPr>
        <w:t xml:space="preserve">Ad </w:t>
      </w:r>
      <w:proofErr w:type="gramStart"/>
      <w:r w:rsidRPr="00A014B9">
        <w:rPr>
          <w:bCs/>
        </w:rPr>
        <w:t>integrazione  dell’offerta</w:t>
      </w:r>
      <w:proofErr w:type="gramEnd"/>
      <w:r w:rsidRPr="00A014B9">
        <w:rPr>
          <w:bCs/>
        </w:rPr>
        <w:t xml:space="preserve"> museale  </w:t>
      </w:r>
      <w:r w:rsidRPr="00A014B9">
        <w:t>p</w:t>
      </w:r>
      <w:r w:rsidR="0038384B" w:rsidRPr="00A014B9">
        <w:t xml:space="preserve">roseguirà l’attività di accompagnamento alle visite  </w:t>
      </w:r>
      <w:r w:rsidR="0038384B" w:rsidRPr="00A014B9">
        <w:lastRenderedPageBreak/>
        <w:t>guidate a Palazzo Brugiotti</w:t>
      </w:r>
      <w:r w:rsidR="00D237E4" w:rsidRPr="00A014B9">
        <w:rPr>
          <w:bCs/>
        </w:rPr>
        <w:t xml:space="preserve"> così come la programmazione di Incontri culturali al Palazzo e alle sue collezioni d'arte</w:t>
      </w:r>
      <w:r w:rsidR="00366EA0" w:rsidRPr="00A014B9">
        <w:rPr>
          <w:bCs/>
        </w:rPr>
        <w:t>.</w:t>
      </w:r>
    </w:p>
    <w:p w:rsidR="00366EA0" w:rsidRPr="00A014B9" w:rsidRDefault="00366EA0" w:rsidP="00B30127">
      <w:pPr>
        <w:jc w:val="both"/>
        <w:rPr>
          <w:u w:val="single"/>
        </w:rPr>
      </w:pPr>
    </w:p>
    <w:p w:rsidR="00087C27" w:rsidRPr="00A014B9" w:rsidRDefault="00087C27" w:rsidP="00B30127">
      <w:pPr>
        <w:jc w:val="both"/>
        <w:rPr>
          <w:u w:val="single"/>
        </w:rPr>
      </w:pPr>
    </w:p>
    <w:p w:rsidR="000E6041" w:rsidRPr="00A014B9" w:rsidRDefault="00366EA0" w:rsidP="00B30127">
      <w:pPr>
        <w:jc w:val="both"/>
        <w:rPr>
          <w:u w:val="single"/>
        </w:rPr>
      </w:pPr>
      <w:r w:rsidRPr="00A014B9">
        <w:rPr>
          <w:u w:val="single"/>
        </w:rPr>
        <w:t>Centro culturale di Valle di Faul</w:t>
      </w:r>
    </w:p>
    <w:p w:rsidR="00D26A0C" w:rsidRPr="00A014B9" w:rsidRDefault="00D26A0C" w:rsidP="00C00CDB">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rPr>
          <w:i/>
        </w:rPr>
      </w:pPr>
      <w:r w:rsidRPr="00A014B9">
        <w:rPr>
          <w:i/>
        </w:rPr>
        <w:t>(Settore Arte e Cultura)</w:t>
      </w:r>
    </w:p>
    <w:p w:rsidR="00B17DAA" w:rsidRPr="00A014B9" w:rsidRDefault="00366EA0" w:rsidP="00B17DAA">
      <w:pPr>
        <w:jc w:val="both"/>
      </w:pPr>
      <w:r w:rsidRPr="00A014B9">
        <w:t xml:space="preserve">Analogamente a quanto previsto per il Museo della Ceramica della Tuscia anche il Centro </w:t>
      </w:r>
      <w:r w:rsidR="00936521" w:rsidRPr="00A014B9">
        <w:t>C</w:t>
      </w:r>
      <w:r w:rsidRPr="00A014B9">
        <w:t xml:space="preserve">ulturale di Valle di </w:t>
      </w:r>
      <w:proofErr w:type="gramStart"/>
      <w:r w:rsidRPr="00A014B9">
        <w:t>Faul</w:t>
      </w:r>
      <w:r w:rsidR="005B15A2" w:rsidRPr="00A014B9">
        <w:t xml:space="preserve"> </w:t>
      </w:r>
      <w:r w:rsidR="00B17DAA" w:rsidRPr="00A014B9">
        <w:t xml:space="preserve"> </w:t>
      </w:r>
      <w:r w:rsidR="005B15A2" w:rsidRPr="00A014B9">
        <w:t>continuerà</w:t>
      </w:r>
      <w:proofErr w:type="gramEnd"/>
      <w:r w:rsidR="005B15A2" w:rsidRPr="00A014B9">
        <w:t xml:space="preserve"> ad essere gestito dalla Fondazione  attraverso la propria impresa strumentale</w:t>
      </w:r>
      <w:r w:rsidR="00B17DAA" w:rsidRPr="00A014B9">
        <w:t>.</w:t>
      </w:r>
    </w:p>
    <w:p w:rsidR="00676127" w:rsidRPr="00A014B9" w:rsidRDefault="00B17DAA" w:rsidP="00B30127">
      <w:pPr>
        <w:jc w:val="both"/>
        <w:rPr>
          <w:rStyle w:val="CharacterStyle4"/>
          <w:sz w:val="24"/>
          <w:szCs w:val="24"/>
        </w:rPr>
      </w:pPr>
      <w:r w:rsidRPr="00A014B9">
        <w:t xml:space="preserve">Il </w:t>
      </w:r>
      <w:r w:rsidR="000E2C18" w:rsidRPr="00A014B9">
        <w:t xml:space="preserve">Centro </w:t>
      </w:r>
      <w:r w:rsidR="00087C27" w:rsidRPr="00A014B9">
        <w:t xml:space="preserve">sarà </w:t>
      </w:r>
      <w:r w:rsidR="000E2C18" w:rsidRPr="00A014B9">
        <w:t xml:space="preserve">disponibile </w:t>
      </w:r>
      <w:proofErr w:type="gramStart"/>
      <w:r w:rsidR="000E2C18" w:rsidRPr="00A014B9">
        <w:t xml:space="preserve">per  </w:t>
      </w:r>
      <w:r w:rsidR="00087C27" w:rsidRPr="00A014B9">
        <w:t>accogliere</w:t>
      </w:r>
      <w:proofErr w:type="gramEnd"/>
      <w:r w:rsidR="0044304C" w:rsidRPr="00A014B9">
        <w:t xml:space="preserve"> </w:t>
      </w:r>
      <w:r w:rsidR="00DD4048" w:rsidRPr="00A014B9">
        <w:t xml:space="preserve">attività culturali   di tipo espositivo, </w:t>
      </w:r>
      <w:r w:rsidR="00566900" w:rsidRPr="00A014B9">
        <w:t>convegni</w:t>
      </w:r>
      <w:r w:rsidR="00DD4048" w:rsidRPr="00A014B9">
        <w:t>stico</w:t>
      </w:r>
      <w:r w:rsidR="00566900" w:rsidRPr="00A014B9">
        <w:t>,</w:t>
      </w:r>
      <w:r w:rsidR="000A33F5" w:rsidRPr="00A014B9">
        <w:t xml:space="preserve"> musicale</w:t>
      </w:r>
      <w:r w:rsidR="00DD4048" w:rsidRPr="00A014B9">
        <w:t xml:space="preserve">, teatrale, ecc..  </w:t>
      </w:r>
      <w:r w:rsidR="00863D98" w:rsidRPr="00A014B9">
        <w:t xml:space="preserve"> </w:t>
      </w:r>
      <w:r w:rsidR="00DD4048" w:rsidRPr="00A014B9">
        <w:t xml:space="preserve">realizzate </w:t>
      </w:r>
      <w:r w:rsidR="00210FCB" w:rsidRPr="00A014B9">
        <w:t xml:space="preserve">sia </w:t>
      </w:r>
      <w:r w:rsidR="00DD4048" w:rsidRPr="00A014B9">
        <w:t>d</w:t>
      </w:r>
      <w:r w:rsidR="00210FCB" w:rsidRPr="00A014B9">
        <w:t xml:space="preserve">irettamente dalla Fondazione   </w:t>
      </w:r>
      <w:proofErr w:type="gramStart"/>
      <w:r w:rsidR="00210FCB" w:rsidRPr="00A014B9">
        <w:t xml:space="preserve">che </w:t>
      </w:r>
      <w:r w:rsidR="00DD4048" w:rsidRPr="00A014B9">
        <w:t xml:space="preserve"> da</w:t>
      </w:r>
      <w:proofErr w:type="gramEnd"/>
      <w:r w:rsidR="00DD4048" w:rsidRPr="00A014B9">
        <w:t xml:space="preserve"> soggetti terzi </w:t>
      </w:r>
      <w:r w:rsidR="00D51956" w:rsidRPr="00A014B9">
        <w:t xml:space="preserve">nel caso </w:t>
      </w:r>
      <w:r w:rsidR="00235229" w:rsidRPr="00A014B9">
        <w:t xml:space="preserve"> </w:t>
      </w:r>
      <w:r w:rsidR="00885067" w:rsidRPr="00A014B9">
        <w:rPr>
          <w:rStyle w:val="CharacterStyle4"/>
          <w:sz w:val="24"/>
          <w:szCs w:val="24"/>
        </w:rPr>
        <w:t xml:space="preserve">i </w:t>
      </w:r>
      <w:r w:rsidR="00D72C6E" w:rsidRPr="00A014B9">
        <w:rPr>
          <w:rStyle w:val="CharacterStyle4"/>
          <w:sz w:val="24"/>
          <w:szCs w:val="24"/>
        </w:rPr>
        <w:t xml:space="preserve">contenuti </w:t>
      </w:r>
      <w:r w:rsidR="00210FCB" w:rsidRPr="00A014B9">
        <w:t>risulti</w:t>
      </w:r>
      <w:r w:rsidR="004D2D0B" w:rsidRPr="00A014B9">
        <w:t xml:space="preserve">no </w:t>
      </w:r>
      <w:r w:rsidR="00885067" w:rsidRPr="00A014B9">
        <w:t xml:space="preserve">compatibili con le materie riconducibili alla sfera di competenza della Fondazione e </w:t>
      </w:r>
      <w:r w:rsidR="00566900" w:rsidRPr="00A014B9">
        <w:t xml:space="preserve"> coerenti con gli obiettivi di crescita socio-c</w:t>
      </w:r>
      <w:r w:rsidR="00215C7D" w:rsidRPr="00A014B9">
        <w:t>ulturale del territorio</w:t>
      </w:r>
      <w:r w:rsidR="000E2C18" w:rsidRPr="00A014B9">
        <w:rPr>
          <w:rStyle w:val="CharacterStyle4"/>
          <w:sz w:val="24"/>
          <w:szCs w:val="24"/>
        </w:rPr>
        <w:t>.</w:t>
      </w:r>
      <w:r w:rsidR="001C1C6E" w:rsidRPr="00A014B9">
        <w:rPr>
          <w:rStyle w:val="CharacterStyle4"/>
          <w:sz w:val="24"/>
          <w:szCs w:val="24"/>
        </w:rPr>
        <w:t xml:space="preserve"> </w:t>
      </w:r>
    </w:p>
    <w:p w:rsidR="000C68F6" w:rsidRPr="00A014B9" w:rsidRDefault="0089340C" w:rsidP="00A9671C">
      <w:pPr>
        <w:jc w:val="both"/>
      </w:pPr>
      <w:proofErr w:type="gramStart"/>
      <w:r w:rsidRPr="00A014B9">
        <w:rPr>
          <w:rStyle w:val="CharacterStyle4"/>
          <w:sz w:val="24"/>
          <w:szCs w:val="24"/>
        </w:rPr>
        <w:t xml:space="preserve">Nei </w:t>
      </w:r>
      <w:r w:rsidR="00FE15D0" w:rsidRPr="00A014B9">
        <w:rPr>
          <w:rStyle w:val="CharacterStyle4"/>
          <w:sz w:val="24"/>
          <w:szCs w:val="24"/>
        </w:rPr>
        <w:t xml:space="preserve"> primi</w:t>
      </w:r>
      <w:proofErr w:type="gramEnd"/>
      <w:r w:rsidR="00FE15D0" w:rsidRPr="00A014B9">
        <w:rPr>
          <w:rStyle w:val="CharacterStyle4"/>
          <w:sz w:val="24"/>
          <w:szCs w:val="24"/>
        </w:rPr>
        <w:t xml:space="preserve"> </w:t>
      </w:r>
      <w:r w:rsidR="00B17DAA" w:rsidRPr="00A014B9">
        <w:rPr>
          <w:rStyle w:val="CharacterStyle4"/>
          <w:sz w:val="24"/>
          <w:szCs w:val="24"/>
        </w:rPr>
        <w:t xml:space="preserve">mesi </w:t>
      </w:r>
      <w:r w:rsidR="00FE15D0" w:rsidRPr="00A014B9">
        <w:rPr>
          <w:rStyle w:val="CharacterStyle4"/>
          <w:sz w:val="24"/>
          <w:szCs w:val="24"/>
        </w:rPr>
        <w:t>del 20</w:t>
      </w:r>
      <w:r w:rsidR="00B17DAA" w:rsidRPr="00A014B9">
        <w:rPr>
          <w:rStyle w:val="CharacterStyle4"/>
          <w:sz w:val="24"/>
          <w:szCs w:val="24"/>
        </w:rPr>
        <w:t>21</w:t>
      </w:r>
      <w:r w:rsidRPr="00A014B9">
        <w:rPr>
          <w:rStyle w:val="CharacterStyle4"/>
          <w:sz w:val="24"/>
          <w:szCs w:val="24"/>
        </w:rPr>
        <w:t xml:space="preserve"> il Centro continuerà ad </w:t>
      </w:r>
      <w:r w:rsidR="00FE15D0" w:rsidRPr="00A014B9">
        <w:rPr>
          <w:rStyle w:val="CharacterStyle4"/>
          <w:sz w:val="24"/>
          <w:szCs w:val="24"/>
        </w:rPr>
        <w:t xml:space="preserve"> </w:t>
      </w:r>
      <w:r w:rsidRPr="00A014B9">
        <w:rPr>
          <w:rStyle w:val="CharacterStyle4"/>
          <w:sz w:val="24"/>
          <w:szCs w:val="24"/>
        </w:rPr>
        <w:t xml:space="preserve">ospitare </w:t>
      </w:r>
      <w:r w:rsidR="00FE15D0" w:rsidRPr="00A014B9">
        <w:rPr>
          <w:rStyle w:val="CharacterStyle4"/>
          <w:sz w:val="24"/>
          <w:szCs w:val="24"/>
        </w:rPr>
        <w:t xml:space="preserve"> il cantiere di restauro del Polittico del Balle</w:t>
      </w:r>
      <w:r w:rsidR="00B17DAA" w:rsidRPr="00A014B9">
        <w:rPr>
          <w:rStyle w:val="CharacterStyle4"/>
          <w:sz w:val="24"/>
          <w:szCs w:val="24"/>
        </w:rPr>
        <w:t>t</w:t>
      </w:r>
      <w:r w:rsidR="00FE15D0" w:rsidRPr="00A014B9">
        <w:rPr>
          <w:rStyle w:val="CharacterStyle4"/>
          <w:sz w:val="24"/>
          <w:szCs w:val="24"/>
        </w:rPr>
        <w:t>ta della Chiesa di San Giovanni in Zoccoli a V</w:t>
      </w:r>
      <w:r w:rsidR="00B17DAA" w:rsidRPr="00A014B9">
        <w:rPr>
          <w:rStyle w:val="CharacterStyle4"/>
          <w:sz w:val="24"/>
          <w:szCs w:val="24"/>
        </w:rPr>
        <w:t>i</w:t>
      </w:r>
      <w:r w:rsidR="00FE15D0" w:rsidRPr="00A014B9">
        <w:rPr>
          <w:rStyle w:val="CharacterStyle4"/>
          <w:sz w:val="24"/>
          <w:szCs w:val="24"/>
        </w:rPr>
        <w:t>terbo intervento interame</w:t>
      </w:r>
      <w:r w:rsidR="00B17DAA" w:rsidRPr="00A014B9">
        <w:rPr>
          <w:rStyle w:val="CharacterStyle4"/>
          <w:sz w:val="24"/>
          <w:szCs w:val="24"/>
        </w:rPr>
        <w:t>n</w:t>
      </w:r>
      <w:r w:rsidR="00FE15D0" w:rsidRPr="00A014B9">
        <w:rPr>
          <w:rStyle w:val="CharacterStyle4"/>
          <w:sz w:val="24"/>
          <w:szCs w:val="24"/>
        </w:rPr>
        <w:t xml:space="preserve">te </w:t>
      </w:r>
      <w:r w:rsidR="00B17DAA" w:rsidRPr="00A014B9">
        <w:rPr>
          <w:rStyle w:val="CharacterStyle4"/>
          <w:sz w:val="24"/>
          <w:szCs w:val="24"/>
        </w:rPr>
        <w:t>sostenuto</w:t>
      </w:r>
      <w:r w:rsidR="00FE15D0" w:rsidRPr="00A014B9">
        <w:rPr>
          <w:rStyle w:val="CharacterStyle4"/>
          <w:sz w:val="24"/>
          <w:szCs w:val="24"/>
        </w:rPr>
        <w:t xml:space="preserve"> dalla Fondazione</w:t>
      </w:r>
      <w:r w:rsidR="00B17DAA" w:rsidRPr="00A014B9">
        <w:rPr>
          <w:rStyle w:val="CharacterStyle4"/>
          <w:sz w:val="24"/>
          <w:szCs w:val="24"/>
        </w:rPr>
        <w:t xml:space="preserve">. La collocazione del cantiere nei locali del Centro è stata pensata   anche per amplificarne </w:t>
      </w:r>
      <w:proofErr w:type="gramStart"/>
      <w:r w:rsidR="00B17DAA" w:rsidRPr="00A014B9">
        <w:rPr>
          <w:rStyle w:val="CharacterStyle4"/>
          <w:sz w:val="24"/>
          <w:szCs w:val="24"/>
        </w:rPr>
        <w:t>la  divulgazione</w:t>
      </w:r>
      <w:proofErr w:type="gramEnd"/>
      <w:r w:rsidR="00B17DAA" w:rsidRPr="00A014B9">
        <w:rPr>
          <w:rStyle w:val="CharacterStyle4"/>
          <w:sz w:val="24"/>
          <w:szCs w:val="24"/>
        </w:rPr>
        <w:t xml:space="preserve">   </w:t>
      </w:r>
      <w:r w:rsidR="00087C27" w:rsidRPr="00A014B9">
        <w:rPr>
          <w:rStyle w:val="CharacterStyle4"/>
          <w:sz w:val="24"/>
          <w:szCs w:val="24"/>
        </w:rPr>
        <w:t xml:space="preserve">dell’intervento </w:t>
      </w:r>
      <w:r w:rsidR="00A9671C" w:rsidRPr="00A014B9">
        <w:rPr>
          <w:rStyle w:val="CharacterStyle4"/>
          <w:sz w:val="24"/>
          <w:szCs w:val="24"/>
        </w:rPr>
        <w:t xml:space="preserve">al termine del quale </w:t>
      </w:r>
      <w:r w:rsidR="00B17DAA" w:rsidRPr="00A014B9">
        <w:t>verrà altresì promosso anche mediante un’apposita iniziativa</w:t>
      </w:r>
      <w:r w:rsidRPr="00A014B9">
        <w:t xml:space="preserve"> editoriale</w:t>
      </w:r>
      <w:r w:rsidR="00060265" w:rsidRPr="00A014B9">
        <w:t xml:space="preserve"> ed espositiva</w:t>
      </w:r>
      <w:r w:rsidR="00B17DAA" w:rsidRPr="00A014B9">
        <w:t>.</w:t>
      </w:r>
    </w:p>
    <w:p w:rsidR="00B17DAA" w:rsidRPr="00A014B9" w:rsidRDefault="00B17DAA" w:rsidP="00B17DAA">
      <w:pPr>
        <w:widowControl w:val="0"/>
        <w:jc w:val="both"/>
      </w:pPr>
    </w:p>
    <w:p w:rsidR="000E6041" w:rsidRPr="00A014B9" w:rsidRDefault="000E6041" w:rsidP="000E6041">
      <w:pPr>
        <w:widowControl w:val="0"/>
        <w:rPr>
          <w:u w:val="single"/>
        </w:rPr>
      </w:pPr>
      <w:r w:rsidRPr="00A014B9">
        <w:rPr>
          <w:u w:val="single"/>
        </w:rPr>
        <w:t>Interventi di restauro e valorizzazione del patrimonio artistico e culturale locale</w:t>
      </w:r>
    </w:p>
    <w:p w:rsidR="004A2B52" w:rsidRPr="00A014B9" w:rsidRDefault="00A9671C" w:rsidP="004A2B52">
      <w:pPr>
        <w:widowControl w:val="0"/>
        <w:jc w:val="both"/>
      </w:pPr>
      <w:r w:rsidRPr="00A014B9">
        <w:t xml:space="preserve">Si prevedono due restauri </w:t>
      </w:r>
      <w:r w:rsidR="00936521" w:rsidRPr="00A014B9">
        <w:rPr>
          <w:sz w:val="16"/>
          <w:szCs w:val="16"/>
          <w:vertAlign w:val="superscript"/>
        </w:rPr>
        <w:t>(*)</w:t>
      </w:r>
      <w:r w:rsidR="00936521" w:rsidRPr="00A014B9">
        <w:rPr>
          <w:sz w:val="16"/>
          <w:szCs w:val="16"/>
        </w:rPr>
        <w:t xml:space="preserve"> </w:t>
      </w:r>
      <w:proofErr w:type="gramStart"/>
      <w:r w:rsidR="000E6041" w:rsidRPr="00A014B9">
        <w:t>di  rilevante</w:t>
      </w:r>
      <w:proofErr w:type="gramEnd"/>
      <w:r w:rsidR="000E6041" w:rsidRPr="00A014B9">
        <w:t xml:space="preserve"> significato</w:t>
      </w:r>
      <w:r w:rsidR="00F67CAC" w:rsidRPr="00A014B9">
        <w:t xml:space="preserve"> per il Territorio</w:t>
      </w:r>
      <w:r w:rsidR="000E6041" w:rsidRPr="00A014B9">
        <w:t xml:space="preserve"> </w:t>
      </w:r>
      <w:r w:rsidR="00A969E3" w:rsidRPr="00A014B9">
        <w:t xml:space="preserve">che </w:t>
      </w:r>
      <w:r w:rsidR="000E6041" w:rsidRPr="00A014B9">
        <w:t>riguarder</w:t>
      </w:r>
      <w:r w:rsidR="000D4213" w:rsidRPr="00A014B9">
        <w:t>anno:</w:t>
      </w:r>
      <w:r w:rsidR="004A2B52" w:rsidRPr="00A014B9">
        <w:t xml:space="preserve"> </w:t>
      </w:r>
    </w:p>
    <w:p w:rsidR="00D26A0C" w:rsidRPr="00A014B9" w:rsidRDefault="004A2B52" w:rsidP="00A9671C">
      <w:pPr>
        <w:pStyle w:val="Paragrafoelenco"/>
        <w:widowControl w:val="0"/>
        <w:numPr>
          <w:ilvl w:val="0"/>
          <w:numId w:val="27"/>
        </w:numPr>
        <w:ind w:left="426" w:hanging="426"/>
        <w:jc w:val="both"/>
      </w:pPr>
      <w:r w:rsidRPr="00A014B9">
        <w:t>il dipinto</w:t>
      </w:r>
      <w:r w:rsidR="00A9671C" w:rsidRPr="00A014B9">
        <w:t>,</w:t>
      </w:r>
      <w:r w:rsidRPr="00A014B9">
        <w:t xml:space="preserve"> collocato </w:t>
      </w:r>
      <w:proofErr w:type="gramStart"/>
      <w:r w:rsidRPr="00A014B9">
        <w:t>nella  Concattedrale</w:t>
      </w:r>
      <w:proofErr w:type="gramEnd"/>
      <w:r w:rsidRPr="00A014B9">
        <w:t xml:space="preserve"> di Santa Maria Assunta, a Gallese  “Sepoltura di Cristo” del pittore Paris </w:t>
      </w:r>
      <w:proofErr w:type="spellStart"/>
      <w:r w:rsidRPr="00A014B9">
        <w:t>Nogari</w:t>
      </w:r>
      <w:proofErr w:type="spellEnd"/>
      <w:r w:rsidRPr="00A014B9">
        <w:t xml:space="preserve">, artista romano </w:t>
      </w:r>
      <w:r w:rsidR="00D26A0C" w:rsidRPr="00A014B9">
        <w:t>d</w:t>
      </w:r>
      <w:r w:rsidRPr="00A014B9">
        <w:t>ella seconda metà del 500</w:t>
      </w:r>
      <w:r w:rsidR="00D26A0C" w:rsidRPr="00A014B9">
        <w:t xml:space="preserve">.Trattandosi di un bene mobile si ripropone  l'opportunità di </w:t>
      </w:r>
      <w:r w:rsidR="00A9671C" w:rsidRPr="00A014B9">
        <w:t>ospitare il</w:t>
      </w:r>
      <w:r w:rsidR="00D26A0C" w:rsidRPr="00A014B9">
        <w:t xml:space="preserve"> cantiere aperto così come  per il Balletta </w:t>
      </w:r>
      <w:r w:rsidR="00A9671C" w:rsidRPr="00A014B9">
        <w:t xml:space="preserve">nei locali </w:t>
      </w:r>
      <w:r w:rsidR="00D26A0C" w:rsidRPr="00A014B9">
        <w:t xml:space="preserve"> Centro Culturale di Valle Faul</w:t>
      </w:r>
      <w:r w:rsidR="007A5DBA" w:rsidRPr="00A014B9">
        <w:t>;</w:t>
      </w:r>
    </w:p>
    <w:p w:rsidR="00D237E4" w:rsidRPr="00A014B9" w:rsidRDefault="00A9671C" w:rsidP="00A9671C">
      <w:pPr>
        <w:pStyle w:val="Paragrafoelenco"/>
        <w:widowControl w:val="0"/>
        <w:numPr>
          <w:ilvl w:val="0"/>
          <w:numId w:val="28"/>
        </w:numPr>
        <w:ind w:left="426" w:hanging="426"/>
        <w:jc w:val="both"/>
        <w:rPr>
          <w:bCs/>
        </w:rPr>
      </w:pPr>
      <w:r w:rsidRPr="00A014B9">
        <w:rPr>
          <w:shd w:val="clear" w:color="auto" w:fill="FFFFFF"/>
        </w:rPr>
        <w:t>il p</w:t>
      </w:r>
      <w:r w:rsidR="004A2B52" w:rsidRPr="00A014B9">
        <w:rPr>
          <w:shd w:val="clear" w:color="auto" w:fill="FFFFFF"/>
        </w:rPr>
        <w:t xml:space="preserve">avimento ceramico </w:t>
      </w:r>
      <w:proofErr w:type="gramStart"/>
      <w:r w:rsidR="004A2B52" w:rsidRPr="00A014B9">
        <w:rPr>
          <w:shd w:val="clear" w:color="auto" w:fill="FFFFFF"/>
        </w:rPr>
        <w:t>della  </w:t>
      </w:r>
      <w:r w:rsidR="004A2B52" w:rsidRPr="00A014B9">
        <w:rPr>
          <w:bCs/>
          <w:shd w:val="clear" w:color="auto" w:fill="FFFFFF"/>
        </w:rPr>
        <w:t>Cappella</w:t>
      </w:r>
      <w:proofErr w:type="gramEnd"/>
      <w:r w:rsidR="004A2B52" w:rsidRPr="00A014B9">
        <w:rPr>
          <w:bCs/>
          <w:shd w:val="clear" w:color="auto" w:fill="FFFFFF"/>
        </w:rPr>
        <w:t xml:space="preserve"> </w:t>
      </w:r>
      <w:proofErr w:type="spellStart"/>
      <w:r w:rsidR="004A2B52" w:rsidRPr="00A014B9">
        <w:rPr>
          <w:bCs/>
          <w:shd w:val="clear" w:color="auto" w:fill="FFFFFF"/>
        </w:rPr>
        <w:t>Mazzatosta</w:t>
      </w:r>
      <w:proofErr w:type="spellEnd"/>
      <w:r w:rsidR="004A2B52" w:rsidRPr="00A014B9">
        <w:rPr>
          <w:shd w:val="clear" w:color="auto" w:fill="FFFFFF"/>
        </w:rPr>
        <w:t>  in Santa Maria della Verità a Viter</w:t>
      </w:r>
      <w:r w:rsidR="00D26A0C" w:rsidRPr="00A014B9">
        <w:rPr>
          <w:shd w:val="clear" w:color="auto" w:fill="FFFFFF"/>
        </w:rPr>
        <w:t>bo  considerata con i sui affreschi una delle più significative opere rinascimentali della </w:t>
      </w:r>
      <w:hyperlink r:id="rId9" w:tooltip="Tuscia" w:history="1">
        <w:r w:rsidR="00D26A0C" w:rsidRPr="00A014B9">
          <w:rPr>
            <w:rStyle w:val="Collegamentoipertestuale"/>
            <w:rFonts w:ascii="Times New Roman" w:eastAsia="Arial Unicode MS" w:hAnsi="Times New Roman" w:cs="Times New Roman"/>
            <w:color w:val="auto"/>
            <w:shd w:val="clear" w:color="auto" w:fill="FFFFFF"/>
          </w:rPr>
          <w:t>Tuscia</w:t>
        </w:r>
      </w:hyperlink>
      <w:r w:rsidR="00D26A0C" w:rsidRPr="00A014B9">
        <w:rPr>
          <w:shd w:val="clear" w:color="auto" w:fill="FFFFFF"/>
        </w:rPr>
        <w:t>.</w:t>
      </w:r>
    </w:p>
    <w:p w:rsidR="00936521" w:rsidRPr="00A014B9" w:rsidRDefault="00936521" w:rsidP="00936521">
      <w:pPr>
        <w:ind w:left="284" w:hanging="284"/>
        <w:rPr>
          <w:sz w:val="16"/>
          <w:szCs w:val="16"/>
        </w:rPr>
      </w:pPr>
      <w:r w:rsidRPr="00A014B9">
        <w:rPr>
          <w:sz w:val="16"/>
          <w:szCs w:val="16"/>
          <w:vertAlign w:val="superscript"/>
        </w:rPr>
        <w:t xml:space="preserve">(*) </w:t>
      </w:r>
      <w:r w:rsidRPr="00A014B9">
        <w:rPr>
          <w:sz w:val="16"/>
          <w:szCs w:val="16"/>
        </w:rPr>
        <w:t>al momento della stesura del presente documento sono in corso di approfondimento la definizione degli aspetti tecnici e procedurali degli interventi.</w:t>
      </w:r>
    </w:p>
    <w:p w:rsidR="00936521" w:rsidRPr="00A014B9" w:rsidRDefault="00936521" w:rsidP="00936521">
      <w:pPr>
        <w:pStyle w:val="Paragrafoelenco"/>
        <w:widowControl w:val="0"/>
        <w:ind w:left="426"/>
        <w:jc w:val="both"/>
        <w:rPr>
          <w:bCs/>
        </w:rPr>
      </w:pPr>
    </w:p>
    <w:p w:rsidR="00A529B9" w:rsidRPr="00A014B9" w:rsidRDefault="00A529B9" w:rsidP="00566900">
      <w:pPr>
        <w:jc w:val="both"/>
      </w:pPr>
    </w:p>
    <w:p w:rsidR="00FA0DFB" w:rsidRPr="00A014B9" w:rsidRDefault="00A529B9" w:rsidP="00A529B9">
      <w:pPr>
        <w:pStyle w:val="Corpodeltesto2"/>
        <w:spacing w:line="240" w:lineRule="auto"/>
        <w:rPr>
          <w:color w:val="auto"/>
          <w:u w:val="single"/>
        </w:rPr>
      </w:pPr>
      <w:r w:rsidRPr="00A014B9">
        <w:rPr>
          <w:color w:val="auto"/>
          <w:u w:val="single"/>
        </w:rPr>
        <w:t>Università degli</w:t>
      </w:r>
      <w:r w:rsidRPr="00A014B9">
        <w:rPr>
          <w:u w:val="single"/>
        </w:rPr>
        <w:t xml:space="preserve"> </w:t>
      </w:r>
      <w:r w:rsidRPr="00A014B9">
        <w:rPr>
          <w:color w:val="auto"/>
          <w:u w:val="single"/>
        </w:rPr>
        <w:t xml:space="preserve">Studi della Tuscia </w:t>
      </w:r>
    </w:p>
    <w:p w:rsidR="00A529B9" w:rsidRPr="00A014B9" w:rsidRDefault="00C91BEE" w:rsidP="00A529B9">
      <w:pPr>
        <w:pStyle w:val="Corpodeltesto2"/>
        <w:spacing w:line="240" w:lineRule="auto"/>
        <w:rPr>
          <w:color w:val="auto"/>
        </w:rPr>
      </w:pPr>
      <w:proofErr w:type="gramStart"/>
      <w:r w:rsidRPr="00A014B9">
        <w:rPr>
          <w:color w:val="auto"/>
        </w:rPr>
        <w:t xml:space="preserve">( </w:t>
      </w:r>
      <w:r w:rsidRPr="00A014B9">
        <w:rPr>
          <w:i/>
          <w:color w:val="auto"/>
        </w:rPr>
        <w:t>Settore</w:t>
      </w:r>
      <w:proofErr w:type="gramEnd"/>
      <w:r w:rsidRPr="00A014B9">
        <w:rPr>
          <w:i/>
          <w:color w:val="auto"/>
        </w:rPr>
        <w:t xml:space="preserve"> Educazione, istruzione e formazione, incluso l’acquisto di prodotti editoriali per la scuola</w:t>
      </w:r>
      <w:r w:rsidRPr="00A014B9">
        <w:rPr>
          <w:color w:val="auto"/>
        </w:rPr>
        <w:t>)</w:t>
      </w:r>
    </w:p>
    <w:p w:rsidR="00A529B9" w:rsidRPr="00A014B9" w:rsidRDefault="00A969E3" w:rsidP="00D51956">
      <w:pPr>
        <w:pStyle w:val="Corpodeltesto2"/>
        <w:spacing w:line="240" w:lineRule="auto"/>
        <w:jc w:val="both"/>
        <w:rPr>
          <w:color w:val="000000"/>
          <w:lang w:eastAsia="en-US"/>
        </w:rPr>
      </w:pPr>
      <w:r w:rsidRPr="00A014B9">
        <w:rPr>
          <w:color w:val="auto"/>
        </w:rPr>
        <w:t>Conferma del</w:t>
      </w:r>
      <w:r w:rsidR="00D51956" w:rsidRPr="00A014B9">
        <w:rPr>
          <w:color w:val="auto"/>
        </w:rPr>
        <w:t xml:space="preserve"> s</w:t>
      </w:r>
      <w:r w:rsidR="00A529B9" w:rsidRPr="00A014B9">
        <w:rPr>
          <w:color w:val="auto"/>
        </w:rPr>
        <w:t xml:space="preserve">ostegno </w:t>
      </w:r>
      <w:proofErr w:type="gramStart"/>
      <w:r w:rsidR="00A529B9" w:rsidRPr="00A014B9">
        <w:rPr>
          <w:color w:val="000000"/>
          <w:lang w:eastAsia="en-US"/>
        </w:rPr>
        <w:t>all’istituzione  di</w:t>
      </w:r>
      <w:proofErr w:type="gramEnd"/>
      <w:r w:rsidR="00A529B9" w:rsidRPr="00A014B9">
        <w:rPr>
          <w:color w:val="000000"/>
          <w:lang w:eastAsia="en-US"/>
        </w:rPr>
        <w:t xml:space="preserve"> dottorati di ricerca </w:t>
      </w:r>
      <w:r w:rsidR="005A387E" w:rsidRPr="00A014B9">
        <w:rPr>
          <w:color w:val="000000"/>
          <w:lang w:eastAsia="en-US"/>
        </w:rPr>
        <w:t>presso i</w:t>
      </w:r>
      <w:r w:rsidR="00B67333" w:rsidRPr="00A014B9">
        <w:rPr>
          <w:color w:val="000000"/>
          <w:lang w:eastAsia="en-US"/>
        </w:rPr>
        <w:t xml:space="preserve">l dipartimento DISTU </w:t>
      </w:r>
      <w:r w:rsidR="00A529B9" w:rsidRPr="00A014B9">
        <w:rPr>
          <w:color w:val="000000"/>
          <w:lang w:eastAsia="en-US"/>
        </w:rPr>
        <w:t xml:space="preserve"> </w:t>
      </w:r>
      <w:r w:rsidR="005A387E" w:rsidRPr="00A014B9">
        <w:rPr>
          <w:color w:val="000000"/>
          <w:lang w:eastAsia="en-US"/>
        </w:rPr>
        <w:t>.</w:t>
      </w:r>
    </w:p>
    <w:p w:rsidR="00B67333" w:rsidRPr="00A014B9" w:rsidRDefault="00B67333" w:rsidP="00D237E4">
      <w:pPr>
        <w:rPr>
          <w:u w:val="single"/>
        </w:rPr>
      </w:pPr>
    </w:p>
    <w:p w:rsidR="00D237E4" w:rsidRPr="00A014B9" w:rsidRDefault="00D237E4" w:rsidP="00D237E4">
      <w:pPr>
        <w:rPr>
          <w:u w:val="single"/>
        </w:rPr>
      </w:pPr>
      <w:r w:rsidRPr="00A014B9">
        <w:rPr>
          <w:u w:val="single"/>
        </w:rPr>
        <w:t>ASL di Viterbo</w:t>
      </w:r>
    </w:p>
    <w:p w:rsidR="00D237E4" w:rsidRPr="00A014B9" w:rsidRDefault="00D237E4" w:rsidP="00D237E4">
      <w:pPr>
        <w:rPr>
          <w:i/>
        </w:rPr>
      </w:pPr>
      <w:proofErr w:type="gramStart"/>
      <w:r w:rsidRPr="00A014B9">
        <w:rPr>
          <w:i/>
        </w:rPr>
        <w:t>( Settore</w:t>
      </w:r>
      <w:proofErr w:type="gramEnd"/>
      <w:r w:rsidRPr="00A014B9">
        <w:rPr>
          <w:i/>
        </w:rPr>
        <w:t xml:space="preserve"> Salute pubblica medicina preventiva e riabilitativa)</w:t>
      </w:r>
    </w:p>
    <w:p w:rsidR="00D237E4" w:rsidRPr="00A014B9" w:rsidRDefault="00D26A0C" w:rsidP="00A969E3">
      <w:pPr>
        <w:jc w:val="both"/>
      </w:pPr>
      <w:proofErr w:type="gramStart"/>
      <w:r w:rsidRPr="00A014B9">
        <w:t>I</w:t>
      </w:r>
      <w:r w:rsidR="00D237E4" w:rsidRPr="00A014B9">
        <w:t xml:space="preserve">nterventi  </w:t>
      </w:r>
      <w:r w:rsidRPr="00A014B9">
        <w:t>mirati</w:t>
      </w:r>
      <w:proofErr w:type="gramEnd"/>
      <w:r w:rsidRPr="00A014B9">
        <w:t xml:space="preserve"> </w:t>
      </w:r>
      <w:r w:rsidR="00D237E4" w:rsidRPr="00A014B9">
        <w:t xml:space="preserve"> a rendere più funzionali le strutture mediche anche mediante l’acquisto di macchinari e materiali</w:t>
      </w:r>
      <w:r w:rsidR="00A9671C" w:rsidRPr="00A014B9">
        <w:t>.</w:t>
      </w:r>
      <w:r w:rsidRPr="00A014B9">
        <w:t xml:space="preserve">  </w:t>
      </w:r>
    </w:p>
    <w:p w:rsidR="00A529B9" w:rsidRPr="00A014B9" w:rsidRDefault="00A529B9" w:rsidP="00A529B9">
      <w:pPr>
        <w:tabs>
          <w:tab w:val="left" w:pos="0"/>
        </w:tabs>
      </w:pPr>
    </w:p>
    <w:p w:rsidR="00FA0DFB" w:rsidRPr="00A014B9" w:rsidRDefault="00036F85" w:rsidP="00D51956">
      <w:pPr>
        <w:pStyle w:val="Delibera"/>
        <w:widowControl/>
        <w:tabs>
          <w:tab w:val="clear" w:pos="567"/>
        </w:tabs>
        <w:overflowPunct/>
        <w:autoSpaceDE/>
        <w:adjustRightInd/>
        <w:spacing w:line="240" w:lineRule="auto"/>
        <w:rPr>
          <w:szCs w:val="24"/>
          <w:u w:val="single"/>
        </w:rPr>
      </w:pPr>
      <w:r w:rsidRPr="00A014B9">
        <w:rPr>
          <w:u w:val="single"/>
        </w:rPr>
        <w:t xml:space="preserve">Fondo per </w:t>
      </w:r>
      <w:proofErr w:type="gramStart"/>
      <w:r w:rsidRPr="00A014B9">
        <w:rPr>
          <w:u w:val="single"/>
        </w:rPr>
        <w:t>il  contrasto</w:t>
      </w:r>
      <w:proofErr w:type="gramEnd"/>
      <w:r w:rsidRPr="00A014B9">
        <w:rPr>
          <w:u w:val="single"/>
        </w:rPr>
        <w:t xml:space="preserve"> della povertà educativa minorile e </w:t>
      </w:r>
      <w:r w:rsidRPr="00A014B9">
        <w:rPr>
          <w:szCs w:val="24"/>
          <w:u w:val="single"/>
        </w:rPr>
        <w:t xml:space="preserve">Fondazione con il Sud </w:t>
      </w:r>
    </w:p>
    <w:p w:rsidR="00036F85" w:rsidRPr="00A014B9" w:rsidRDefault="00C91BEE" w:rsidP="00D51956">
      <w:pPr>
        <w:pStyle w:val="Delibera"/>
        <w:widowControl/>
        <w:tabs>
          <w:tab w:val="clear" w:pos="567"/>
        </w:tabs>
        <w:overflowPunct/>
        <w:autoSpaceDE/>
        <w:adjustRightInd/>
        <w:spacing w:line="240" w:lineRule="auto"/>
        <w:rPr>
          <w:bCs/>
          <w:i/>
          <w:szCs w:val="24"/>
        </w:rPr>
      </w:pPr>
      <w:r w:rsidRPr="00A014B9">
        <w:rPr>
          <w:szCs w:val="24"/>
        </w:rPr>
        <w:t>(</w:t>
      </w:r>
      <w:r w:rsidRPr="00A014B9">
        <w:rPr>
          <w:bCs/>
          <w:i/>
          <w:szCs w:val="24"/>
        </w:rPr>
        <w:t>Settore Volontariato, filantropia e beneficenza)</w:t>
      </w:r>
    </w:p>
    <w:p w:rsidR="00036F85" w:rsidRPr="00A014B9" w:rsidRDefault="0038384B" w:rsidP="0038384B">
      <w:pPr>
        <w:pStyle w:val="Delibera"/>
        <w:widowControl/>
        <w:tabs>
          <w:tab w:val="clear" w:pos="567"/>
          <w:tab w:val="left" w:pos="708"/>
        </w:tabs>
        <w:overflowPunct/>
        <w:autoSpaceDE/>
        <w:adjustRightInd/>
        <w:spacing w:line="240" w:lineRule="auto"/>
        <w:rPr>
          <w:rFonts w:eastAsia="SimSun"/>
        </w:rPr>
      </w:pPr>
      <w:r w:rsidRPr="00A014B9">
        <w:t>Prosegue l</w:t>
      </w:r>
      <w:r w:rsidR="00036F85" w:rsidRPr="00A014B9">
        <w:t xml:space="preserve">’impegno nel Fondo per </w:t>
      </w:r>
      <w:proofErr w:type="gramStart"/>
      <w:r w:rsidRPr="00A014B9">
        <w:t xml:space="preserve">il </w:t>
      </w:r>
      <w:r w:rsidR="00A969E3" w:rsidRPr="00A014B9">
        <w:t xml:space="preserve"> 2021</w:t>
      </w:r>
      <w:proofErr w:type="gramEnd"/>
      <w:r w:rsidR="00036F85" w:rsidRPr="00A014B9">
        <w:t xml:space="preserve"> </w:t>
      </w:r>
      <w:r w:rsidRPr="00A014B9">
        <w:t xml:space="preserve"> che verrà</w:t>
      </w:r>
      <w:r w:rsidR="00B67333" w:rsidRPr="00A014B9">
        <w:t>,</w:t>
      </w:r>
      <w:r w:rsidRPr="00A014B9">
        <w:t xml:space="preserve"> come in passato</w:t>
      </w:r>
      <w:r w:rsidR="00B67333" w:rsidRPr="00A014B9">
        <w:t>,</w:t>
      </w:r>
      <w:r w:rsidRPr="00A014B9">
        <w:t xml:space="preserve"> </w:t>
      </w:r>
      <w:r w:rsidR="00036F85" w:rsidRPr="00A014B9">
        <w:t xml:space="preserve"> definito per l’Ente  </w:t>
      </w:r>
      <w:r w:rsidR="00D51956" w:rsidRPr="00A014B9">
        <w:t>in sede Acri</w:t>
      </w:r>
      <w:r w:rsidR="00036F85" w:rsidRPr="00A014B9">
        <w:rPr>
          <w:rFonts w:eastAsia="SimSun"/>
        </w:rPr>
        <w:t xml:space="preserve">. </w:t>
      </w:r>
    </w:p>
    <w:p w:rsidR="00EC7759" w:rsidRPr="00A014B9" w:rsidRDefault="00EC7759" w:rsidP="00036F85">
      <w:pPr>
        <w:pStyle w:val="Delibera"/>
        <w:widowControl/>
        <w:tabs>
          <w:tab w:val="clear" w:pos="567"/>
          <w:tab w:val="left" w:pos="708"/>
        </w:tabs>
        <w:overflowPunct/>
        <w:autoSpaceDE/>
        <w:adjustRightInd/>
        <w:spacing w:line="240" w:lineRule="auto"/>
        <w:rPr>
          <w:szCs w:val="24"/>
        </w:rPr>
      </w:pPr>
    </w:p>
    <w:p w:rsidR="00036F85" w:rsidRPr="00A014B9" w:rsidRDefault="00036F85" w:rsidP="00036F85">
      <w:pPr>
        <w:pStyle w:val="Delibera"/>
        <w:widowControl/>
        <w:tabs>
          <w:tab w:val="clear" w:pos="567"/>
          <w:tab w:val="left" w:pos="708"/>
        </w:tabs>
        <w:overflowPunct/>
        <w:autoSpaceDE/>
        <w:adjustRightInd/>
        <w:spacing w:line="240" w:lineRule="auto"/>
        <w:rPr>
          <w:szCs w:val="24"/>
        </w:rPr>
      </w:pPr>
      <w:r w:rsidRPr="00A014B9">
        <w:rPr>
          <w:szCs w:val="24"/>
        </w:rPr>
        <w:t xml:space="preserve">Si conferma altresì il sostegno all’attività della Fondazione con il Sud </w:t>
      </w:r>
      <w:proofErr w:type="gramStart"/>
      <w:r w:rsidRPr="00A014B9">
        <w:rPr>
          <w:szCs w:val="24"/>
        </w:rPr>
        <w:t>secondo  le</w:t>
      </w:r>
      <w:proofErr w:type="gramEnd"/>
      <w:r w:rsidRPr="00A014B9">
        <w:rPr>
          <w:szCs w:val="24"/>
        </w:rPr>
        <w:t xml:space="preserve"> dispos</w:t>
      </w:r>
      <w:r w:rsidR="0038384B" w:rsidRPr="00A014B9">
        <w:rPr>
          <w:szCs w:val="24"/>
        </w:rPr>
        <w:t>izioni concordate in sede Acri.</w:t>
      </w:r>
    </w:p>
    <w:p w:rsidR="00036F85" w:rsidRPr="00A014B9" w:rsidRDefault="00036F85" w:rsidP="00036F85">
      <w:pPr>
        <w:autoSpaceDE w:val="0"/>
        <w:autoSpaceDN w:val="0"/>
        <w:adjustRightInd w:val="0"/>
      </w:pPr>
    </w:p>
    <w:p w:rsidR="0038384B" w:rsidRPr="00A014B9" w:rsidRDefault="0038384B" w:rsidP="001E2BE8">
      <w:pPr>
        <w:pStyle w:val="Delibera"/>
        <w:spacing w:line="240" w:lineRule="auto"/>
      </w:pPr>
      <w:proofErr w:type="gramStart"/>
      <w:r w:rsidRPr="00A014B9">
        <w:t xml:space="preserve">Agli  </w:t>
      </w:r>
      <w:r w:rsidR="001E2BE8" w:rsidRPr="00A014B9">
        <w:t>accantonamenti</w:t>
      </w:r>
      <w:proofErr w:type="gramEnd"/>
      <w:r w:rsidR="001E2BE8" w:rsidRPr="00A014B9">
        <w:t xml:space="preserve"> </w:t>
      </w:r>
      <w:r w:rsidR="00953ED9" w:rsidRPr="00A014B9">
        <w:t xml:space="preserve">per il </w:t>
      </w:r>
      <w:r w:rsidR="00036830" w:rsidRPr="00A014B9">
        <w:t xml:space="preserve"> FUN (ex </w:t>
      </w:r>
      <w:r w:rsidR="00953ED9" w:rsidRPr="00A014B9">
        <w:t>Volontariato</w:t>
      </w:r>
      <w:r w:rsidR="00036830" w:rsidRPr="00A014B9">
        <w:t>)</w:t>
      </w:r>
      <w:r w:rsidRPr="00A014B9">
        <w:t xml:space="preserve"> si  provvederà secondo la normativa vigente.</w:t>
      </w:r>
    </w:p>
    <w:p w:rsidR="00036F85" w:rsidRPr="00A014B9" w:rsidRDefault="00036F85" w:rsidP="00566900">
      <w:pPr>
        <w:jc w:val="both"/>
      </w:pPr>
    </w:p>
    <w:p w:rsidR="0038384B" w:rsidRPr="00A014B9" w:rsidRDefault="00A969E3" w:rsidP="0038384B">
      <w:pPr>
        <w:widowControl w:val="0"/>
      </w:pPr>
      <w:r w:rsidRPr="00A014B9">
        <w:t>Conferma della “</w:t>
      </w:r>
      <w:r w:rsidRPr="00A014B9">
        <w:rPr>
          <w:i/>
        </w:rPr>
        <w:t>Beneficenza di Natale</w:t>
      </w:r>
      <w:r w:rsidRPr="00A014B9">
        <w:t>”</w:t>
      </w:r>
      <w:r w:rsidR="00A9671C" w:rsidRPr="00A014B9">
        <w:t xml:space="preserve"> e del “</w:t>
      </w:r>
      <w:proofErr w:type="gramStart"/>
      <w:r w:rsidR="00A9671C" w:rsidRPr="00A014B9">
        <w:rPr>
          <w:i/>
        </w:rPr>
        <w:t xml:space="preserve">Fondo </w:t>
      </w:r>
      <w:r w:rsidRPr="00A014B9">
        <w:rPr>
          <w:i/>
        </w:rPr>
        <w:t xml:space="preserve"> </w:t>
      </w:r>
      <w:r w:rsidR="00A9671C" w:rsidRPr="00A014B9">
        <w:rPr>
          <w:i/>
        </w:rPr>
        <w:t>emergenza</w:t>
      </w:r>
      <w:proofErr w:type="gramEnd"/>
      <w:r w:rsidR="00A9671C" w:rsidRPr="00A014B9">
        <w:rPr>
          <w:i/>
        </w:rPr>
        <w:t xml:space="preserve"> </w:t>
      </w:r>
      <w:proofErr w:type="spellStart"/>
      <w:r w:rsidR="00A9671C" w:rsidRPr="00A014B9">
        <w:rPr>
          <w:i/>
        </w:rPr>
        <w:t>Coronovirus</w:t>
      </w:r>
      <w:proofErr w:type="spellEnd"/>
      <w:r w:rsidR="00A9671C" w:rsidRPr="00A014B9">
        <w:t xml:space="preserve">” </w:t>
      </w:r>
      <w:r w:rsidRPr="00A014B9">
        <w:t>i</w:t>
      </w:r>
      <w:r w:rsidR="0038384B" w:rsidRPr="00A014B9">
        <w:t>niziativ</w:t>
      </w:r>
      <w:r w:rsidR="00A9671C" w:rsidRPr="00A014B9">
        <w:t>e</w:t>
      </w:r>
      <w:r w:rsidR="0038384B" w:rsidRPr="00A014B9">
        <w:t xml:space="preserve">  con la quale la Fondazione stanzia un plafond a favore di organismi religiosi e associazioni di volontariato, per assistere persone fisiche  svantaggiate.</w:t>
      </w:r>
    </w:p>
    <w:p w:rsidR="00D26A0C" w:rsidRPr="00A014B9" w:rsidRDefault="00D26A0C" w:rsidP="00566900">
      <w:pPr>
        <w:jc w:val="both"/>
        <w:rPr>
          <w:bCs/>
        </w:rPr>
      </w:pPr>
    </w:p>
    <w:bookmarkEnd w:id="2"/>
    <w:p w:rsidR="00036830" w:rsidRPr="00A014B9" w:rsidRDefault="00036830" w:rsidP="00566900">
      <w:pPr>
        <w:jc w:val="both"/>
        <w:rPr>
          <w:bCs/>
        </w:rPr>
      </w:pPr>
    </w:p>
    <w:p w:rsidR="00D1583B" w:rsidRPr="00A014B9" w:rsidRDefault="00566900" w:rsidP="00566900">
      <w:pPr>
        <w:jc w:val="both"/>
        <w:rPr>
          <w:bCs/>
        </w:rPr>
      </w:pPr>
      <w:r w:rsidRPr="00A014B9">
        <w:rPr>
          <w:bCs/>
        </w:rPr>
        <w:t xml:space="preserve">Procedure e criteri istruttori, principi generali dell’attività erogativa e linee di intervento </w:t>
      </w:r>
    </w:p>
    <w:p w:rsidR="00566900" w:rsidRPr="00A014B9" w:rsidRDefault="00566900" w:rsidP="00566900">
      <w:pPr>
        <w:pStyle w:val="Delibera"/>
        <w:widowControl/>
        <w:tabs>
          <w:tab w:val="clear" w:pos="567"/>
          <w:tab w:val="left" w:pos="708"/>
        </w:tabs>
        <w:overflowPunct/>
        <w:autoSpaceDE/>
        <w:adjustRightInd/>
        <w:spacing w:line="240" w:lineRule="auto"/>
        <w:rPr>
          <w:szCs w:val="24"/>
        </w:rPr>
      </w:pPr>
      <w:r w:rsidRPr="00A014B9">
        <w:rPr>
          <w:szCs w:val="24"/>
        </w:rPr>
        <w:t xml:space="preserve">Si ribadiscono   le medesime indicazioni stabilite nel Piano di </w:t>
      </w:r>
      <w:r w:rsidR="000E6041" w:rsidRPr="00A014B9">
        <w:rPr>
          <w:szCs w:val="24"/>
        </w:rPr>
        <w:t>P</w:t>
      </w:r>
      <w:r w:rsidR="00B67333" w:rsidRPr="00A014B9">
        <w:rPr>
          <w:szCs w:val="24"/>
        </w:rPr>
        <w:t xml:space="preserve">rogrammazione </w:t>
      </w:r>
      <w:proofErr w:type="gramStart"/>
      <w:r w:rsidR="00B67333" w:rsidRPr="00A014B9">
        <w:rPr>
          <w:szCs w:val="24"/>
        </w:rPr>
        <w:t>Pluriennale  2019</w:t>
      </w:r>
      <w:proofErr w:type="gramEnd"/>
      <w:r w:rsidR="00F67CAC" w:rsidRPr="00A014B9">
        <w:rPr>
          <w:szCs w:val="24"/>
        </w:rPr>
        <w:t>-</w:t>
      </w:r>
      <w:r w:rsidR="000E6041" w:rsidRPr="00A014B9">
        <w:rPr>
          <w:szCs w:val="24"/>
        </w:rPr>
        <w:t>2021</w:t>
      </w:r>
      <w:r w:rsidRPr="00A014B9">
        <w:rPr>
          <w:szCs w:val="24"/>
        </w:rPr>
        <w:t xml:space="preserve"> relativamente  a  livelli di efficienza e trasparenza del proprio operare.</w:t>
      </w:r>
    </w:p>
    <w:p w:rsidR="005E4738" w:rsidRPr="00A014B9" w:rsidRDefault="005E4738" w:rsidP="00566900">
      <w:pPr>
        <w:jc w:val="both"/>
      </w:pPr>
    </w:p>
    <w:p w:rsidR="00566900" w:rsidRPr="00A014B9" w:rsidRDefault="00566900" w:rsidP="00566900">
      <w:pPr>
        <w:jc w:val="both"/>
      </w:pPr>
      <w:r w:rsidRPr="00A014B9">
        <w:t>L’attività della Fondazione proseguirà secondo la consol</w:t>
      </w:r>
      <w:r w:rsidR="00AD3F0E" w:rsidRPr="00A014B9">
        <w:t xml:space="preserve">idata </w:t>
      </w:r>
      <w:proofErr w:type="gramStart"/>
      <w:r w:rsidR="00AD3F0E" w:rsidRPr="00A014B9">
        <w:t>impostazione  che</w:t>
      </w:r>
      <w:proofErr w:type="gramEnd"/>
      <w:r w:rsidR="00AD3F0E" w:rsidRPr="00A014B9">
        <w:t xml:space="preserve"> vede l’E</w:t>
      </w:r>
      <w:r w:rsidRPr="00A014B9">
        <w:t>nte  intervenire in un’ottica di sussidiarietà, non  sostituendosi ad altri soggetti  pubblici o privati   che  operano nei  settori di competenza o agire  in funzione di semplice supporto finanziario  a questi ultimi, ma coerentemente con le proprie possibilità e la propria natura di soggetto della società civile a carattere non profit.</w:t>
      </w:r>
    </w:p>
    <w:p w:rsidR="00B67333" w:rsidRPr="00A014B9" w:rsidRDefault="00B67333" w:rsidP="00126D6C">
      <w:pPr>
        <w:pStyle w:val="Nessunaspaziatura"/>
        <w:rPr>
          <w:rFonts w:ascii="Times New Roman" w:hAnsi="Times New Roman"/>
        </w:rPr>
      </w:pPr>
    </w:p>
    <w:p w:rsidR="00126D6C" w:rsidRPr="00A014B9" w:rsidRDefault="000E6041" w:rsidP="00B67333">
      <w:pPr>
        <w:jc w:val="both"/>
        <w:rPr>
          <w:shd w:val="clear" w:color="auto" w:fill="FFFFFF"/>
        </w:rPr>
      </w:pPr>
      <w:r w:rsidRPr="00A014B9">
        <w:t>S</w:t>
      </w:r>
      <w:r w:rsidR="00126D6C" w:rsidRPr="00A014B9">
        <w:t xml:space="preserve">i </w:t>
      </w:r>
      <w:proofErr w:type="gramStart"/>
      <w:r w:rsidR="00126D6C" w:rsidRPr="00A014B9">
        <w:t>prevede  di</w:t>
      </w:r>
      <w:proofErr w:type="gramEnd"/>
      <w:r w:rsidR="00126D6C" w:rsidRPr="00A014B9">
        <w:t xml:space="preserve"> riproporre l’adozione dei bandi di concorso</w:t>
      </w:r>
      <w:r w:rsidR="00D1583B" w:rsidRPr="00A014B9">
        <w:t xml:space="preserve">, </w:t>
      </w:r>
      <w:r w:rsidR="00126D6C" w:rsidRPr="00A014B9">
        <w:t xml:space="preserve"> </w:t>
      </w:r>
      <w:r w:rsidR="00D1583B" w:rsidRPr="00A014B9">
        <w:t xml:space="preserve">così  come già </w:t>
      </w:r>
      <w:r w:rsidR="00126D6C" w:rsidRPr="00A014B9">
        <w:t xml:space="preserve">  adotta</w:t>
      </w:r>
      <w:r w:rsidR="00D1583B" w:rsidRPr="00A014B9">
        <w:t>ti</w:t>
      </w:r>
      <w:r w:rsidR="00C91BEE" w:rsidRPr="00A014B9">
        <w:t xml:space="preserve"> </w:t>
      </w:r>
      <w:r w:rsidRPr="00A014B9">
        <w:t>nel corso del 20</w:t>
      </w:r>
      <w:r w:rsidR="009A292C" w:rsidRPr="00A014B9">
        <w:t>20</w:t>
      </w:r>
      <w:r w:rsidR="00126D6C" w:rsidRPr="00A014B9">
        <w:t xml:space="preserve"> </w:t>
      </w:r>
      <w:r w:rsidR="00B67333" w:rsidRPr="00A014B9">
        <w:t xml:space="preserve"> unitamente alla modalità cd extra-bando per </w:t>
      </w:r>
      <w:r w:rsidR="00B67333" w:rsidRPr="00A014B9">
        <w:rPr>
          <w:shd w:val="clear" w:color="auto" w:fill="FFFFFF"/>
        </w:rPr>
        <w:t xml:space="preserve">progetti che non siano riconducibili ai bandi  ma che risultano in linea con gli indirizzi, le priorità e gli obiettivi di intervento definiti     </w:t>
      </w:r>
      <w:r w:rsidR="00B67333" w:rsidRPr="00A014B9">
        <w:t>nel Piano di Programmazione Pluriennale  2019</w:t>
      </w:r>
      <w:r w:rsidR="009A292C" w:rsidRPr="00A014B9">
        <w:t>-</w:t>
      </w:r>
      <w:r w:rsidR="00B67333" w:rsidRPr="00A014B9">
        <w:t>2021.</w:t>
      </w:r>
    </w:p>
    <w:p w:rsidR="001E1120" w:rsidRPr="00A014B9" w:rsidRDefault="001E1120" w:rsidP="00330E89"/>
    <w:p w:rsidR="00F67CAC" w:rsidRPr="00A014B9" w:rsidRDefault="00F67CAC" w:rsidP="00F67CAC">
      <w:pPr>
        <w:jc w:val="both"/>
      </w:pPr>
      <w:r w:rsidRPr="00A014B9">
        <w:t xml:space="preserve">Per le altre iniziative viene confermata la </w:t>
      </w:r>
      <w:proofErr w:type="gramStart"/>
      <w:r w:rsidRPr="00A014B9">
        <w:t>linea  per</w:t>
      </w:r>
      <w:proofErr w:type="gramEnd"/>
      <w:r w:rsidRPr="00A014B9">
        <w:t xml:space="preserve"> la quale la Fondazione non intende risultare un  puro semplice  finanziatore ma  essere un  soggetto attivo che favorisce  e partecipa dei progetti e delle iniziative che finanzia secondo una   logica di partnership non escludendo l’assunzione di responsabilità dirette in ordine alla loro attuazione.</w:t>
      </w:r>
    </w:p>
    <w:p w:rsidR="00F67CAC" w:rsidRPr="00A014B9" w:rsidRDefault="00F67CAC" w:rsidP="00330E89"/>
    <w:p w:rsidR="00E32B58" w:rsidRPr="00A014B9" w:rsidRDefault="00E32B58" w:rsidP="00330E89"/>
    <w:p w:rsidR="00DD648F" w:rsidRPr="006F1718" w:rsidRDefault="00DC7F53" w:rsidP="006F1718">
      <w:pPr>
        <w:pStyle w:val="Titolo6"/>
        <w:spacing w:line="240" w:lineRule="auto"/>
        <w:rPr>
          <w:b/>
          <w:bCs/>
          <w:i w:val="0"/>
          <w:iCs w:val="0"/>
          <w:sz w:val="24"/>
        </w:rPr>
      </w:pPr>
      <w:r w:rsidRPr="006F1718">
        <w:rPr>
          <w:b/>
          <w:bCs/>
          <w:i w:val="0"/>
          <w:iCs w:val="0"/>
          <w:sz w:val="24"/>
        </w:rPr>
        <w:t>Il quadro finanziario</w:t>
      </w:r>
    </w:p>
    <w:p w:rsidR="00DD648F" w:rsidRPr="00A014B9" w:rsidRDefault="00DD648F" w:rsidP="00DD648F">
      <w:pPr>
        <w:pStyle w:val="Style7"/>
        <w:widowControl w:val="0"/>
        <w:kinsoku w:val="0"/>
        <w:autoSpaceDE/>
        <w:autoSpaceDN/>
        <w:adjustRightInd/>
        <w:rPr>
          <w:bCs/>
          <w:sz w:val="24"/>
          <w:szCs w:val="24"/>
        </w:rPr>
      </w:pPr>
      <w:r w:rsidRPr="00A014B9">
        <w:rPr>
          <w:bCs/>
          <w:sz w:val="24"/>
          <w:szCs w:val="24"/>
        </w:rPr>
        <w:t>Stima di rendimento per</w:t>
      </w:r>
      <w:r w:rsidR="00D26A0C" w:rsidRPr="00A014B9">
        <w:rPr>
          <w:bCs/>
          <w:sz w:val="24"/>
          <w:szCs w:val="24"/>
        </w:rPr>
        <w:t xml:space="preserve"> l’anno</w:t>
      </w:r>
      <w:r w:rsidRPr="00A014B9">
        <w:rPr>
          <w:bCs/>
          <w:sz w:val="24"/>
          <w:szCs w:val="24"/>
        </w:rPr>
        <w:t xml:space="preserve"> 2021</w:t>
      </w:r>
    </w:p>
    <w:p w:rsidR="00DD648F" w:rsidRPr="00A014B9" w:rsidRDefault="00DD648F" w:rsidP="00D26A0C">
      <w:pPr>
        <w:pStyle w:val="Style7"/>
        <w:widowControl w:val="0"/>
        <w:kinsoku w:val="0"/>
        <w:autoSpaceDE/>
        <w:autoSpaceDN/>
        <w:adjustRightInd/>
        <w:jc w:val="both"/>
        <w:rPr>
          <w:sz w:val="24"/>
          <w:szCs w:val="24"/>
        </w:rPr>
      </w:pPr>
      <w:r w:rsidRPr="00A014B9">
        <w:rPr>
          <w:sz w:val="24"/>
          <w:szCs w:val="24"/>
        </w:rPr>
        <w:t xml:space="preserve">La stima di </w:t>
      </w:r>
      <w:r w:rsidRPr="00A014B9">
        <w:rPr>
          <w:i/>
          <w:iCs/>
          <w:sz w:val="24"/>
          <w:szCs w:val="24"/>
        </w:rPr>
        <w:t>performance</w:t>
      </w:r>
      <w:r w:rsidRPr="00A014B9">
        <w:rPr>
          <w:sz w:val="24"/>
          <w:szCs w:val="24"/>
        </w:rPr>
        <w:t xml:space="preserve"> del portafoglio della Fondazione </w:t>
      </w:r>
      <w:r w:rsidR="00A969E3" w:rsidRPr="00A014B9">
        <w:rPr>
          <w:sz w:val="24"/>
          <w:szCs w:val="24"/>
        </w:rPr>
        <w:t xml:space="preserve">per </w:t>
      </w:r>
      <w:proofErr w:type="gramStart"/>
      <w:r w:rsidR="00D26A0C" w:rsidRPr="00A014B9">
        <w:rPr>
          <w:sz w:val="24"/>
          <w:szCs w:val="24"/>
        </w:rPr>
        <w:t xml:space="preserve">l’anno  </w:t>
      </w:r>
      <w:r w:rsidR="00A969E3" w:rsidRPr="00A014B9">
        <w:rPr>
          <w:sz w:val="24"/>
          <w:szCs w:val="24"/>
        </w:rPr>
        <w:t>2021</w:t>
      </w:r>
      <w:proofErr w:type="gramEnd"/>
      <w:r w:rsidRPr="00A014B9">
        <w:rPr>
          <w:sz w:val="24"/>
          <w:szCs w:val="24"/>
        </w:rPr>
        <w:t xml:space="preserve">  è stata calcolata sulla base della com</w:t>
      </w:r>
      <w:r w:rsidRPr="00A014B9">
        <w:rPr>
          <w:bCs/>
          <w:sz w:val="24"/>
          <w:szCs w:val="24"/>
        </w:rPr>
        <w:t>p</w:t>
      </w:r>
      <w:r w:rsidRPr="00A014B9">
        <w:rPr>
          <w:sz w:val="24"/>
          <w:szCs w:val="24"/>
        </w:rPr>
        <w:t>osizione di portafoglio dello scorso 31 agosto</w:t>
      </w:r>
      <w:r w:rsidR="00B7050A" w:rsidRPr="00A014B9">
        <w:rPr>
          <w:sz w:val="24"/>
          <w:szCs w:val="24"/>
        </w:rPr>
        <w:t xml:space="preserve"> 2020 </w:t>
      </w:r>
      <w:r w:rsidRPr="00A014B9">
        <w:rPr>
          <w:sz w:val="24"/>
          <w:szCs w:val="24"/>
        </w:rPr>
        <w:t xml:space="preserve"> nelle  due componenti principali, quella </w:t>
      </w:r>
      <w:r w:rsidRPr="00A014B9">
        <w:rPr>
          <w:bCs/>
          <w:sz w:val="24"/>
          <w:szCs w:val="24"/>
        </w:rPr>
        <w:t>immobilizzata</w:t>
      </w:r>
      <w:r w:rsidRPr="00A014B9">
        <w:rPr>
          <w:sz w:val="24"/>
          <w:szCs w:val="24"/>
        </w:rPr>
        <w:t>, rappresentata dagli strumenti investiti all'interno del conto amministrato dalle polizze di assicurazione</w:t>
      </w:r>
      <w:r w:rsidR="004319E7" w:rsidRPr="00A014B9">
        <w:rPr>
          <w:sz w:val="24"/>
          <w:szCs w:val="24"/>
        </w:rPr>
        <w:t xml:space="preserve"> </w:t>
      </w:r>
      <w:r w:rsidRPr="00A014B9">
        <w:rPr>
          <w:sz w:val="24"/>
          <w:szCs w:val="24"/>
        </w:rPr>
        <w:t xml:space="preserve">e </w:t>
      </w:r>
      <w:r w:rsidR="00D26A0C" w:rsidRPr="00A014B9">
        <w:rPr>
          <w:sz w:val="24"/>
          <w:szCs w:val="24"/>
        </w:rPr>
        <w:t xml:space="preserve"> dalla partecipazione in CDP </w:t>
      </w:r>
      <w:proofErr w:type="spellStart"/>
      <w:r w:rsidR="00D26A0C" w:rsidRPr="00A014B9">
        <w:rPr>
          <w:sz w:val="24"/>
          <w:szCs w:val="24"/>
        </w:rPr>
        <w:t>SpA</w:t>
      </w:r>
      <w:proofErr w:type="spellEnd"/>
      <w:r w:rsidR="00D26A0C" w:rsidRPr="00A014B9">
        <w:rPr>
          <w:sz w:val="24"/>
          <w:szCs w:val="24"/>
        </w:rPr>
        <w:t xml:space="preserve"> e </w:t>
      </w:r>
      <w:r w:rsidRPr="00A014B9">
        <w:rPr>
          <w:sz w:val="24"/>
          <w:szCs w:val="24"/>
        </w:rPr>
        <w:t xml:space="preserve">quella </w:t>
      </w:r>
      <w:r w:rsidRPr="00A014B9">
        <w:rPr>
          <w:bCs/>
          <w:sz w:val="24"/>
          <w:szCs w:val="24"/>
        </w:rPr>
        <w:t>libera</w:t>
      </w:r>
      <w:r w:rsidR="004319E7" w:rsidRPr="00A014B9">
        <w:rPr>
          <w:bCs/>
          <w:sz w:val="24"/>
          <w:szCs w:val="24"/>
        </w:rPr>
        <w:t xml:space="preserve"> </w:t>
      </w:r>
      <w:r w:rsidRPr="00A014B9">
        <w:rPr>
          <w:sz w:val="24"/>
          <w:szCs w:val="24"/>
        </w:rPr>
        <w:t xml:space="preserve">rappresentata dalle tre gestioni </w:t>
      </w:r>
      <w:r w:rsidRPr="00A014B9">
        <w:rPr>
          <w:iCs/>
          <w:sz w:val="24"/>
          <w:szCs w:val="24"/>
        </w:rPr>
        <w:t>Banca Profilo</w:t>
      </w:r>
      <w:r w:rsidRPr="00A014B9">
        <w:rPr>
          <w:sz w:val="24"/>
          <w:szCs w:val="24"/>
        </w:rPr>
        <w:t xml:space="preserve">, </w:t>
      </w:r>
      <w:r w:rsidRPr="00A014B9">
        <w:rPr>
          <w:iCs/>
          <w:sz w:val="24"/>
          <w:szCs w:val="24"/>
        </w:rPr>
        <w:t>Eurizon</w:t>
      </w:r>
      <w:r w:rsidRPr="00A014B9">
        <w:rPr>
          <w:sz w:val="24"/>
          <w:szCs w:val="24"/>
        </w:rPr>
        <w:t xml:space="preserve"> e </w:t>
      </w:r>
      <w:r w:rsidR="00D26A0C" w:rsidRPr="00A014B9">
        <w:rPr>
          <w:iCs/>
          <w:sz w:val="24"/>
          <w:szCs w:val="24"/>
        </w:rPr>
        <w:t>Banca Generali</w:t>
      </w:r>
      <w:r w:rsidRPr="00A014B9">
        <w:rPr>
          <w:iCs/>
          <w:sz w:val="24"/>
          <w:szCs w:val="24"/>
        </w:rPr>
        <w:t>.</w:t>
      </w:r>
    </w:p>
    <w:p w:rsidR="00D12D24" w:rsidRPr="00A014B9" w:rsidRDefault="00D12D24" w:rsidP="0012441F"/>
    <w:p w:rsidR="00C00CDB" w:rsidRPr="00A014B9" w:rsidRDefault="00953ED9" w:rsidP="00690BA9">
      <w:pPr>
        <w:jc w:val="both"/>
      </w:pPr>
      <w:r w:rsidRPr="00A014B9">
        <w:t xml:space="preserve">Il </w:t>
      </w:r>
      <w:r w:rsidR="0012441F" w:rsidRPr="00A014B9">
        <w:t xml:space="preserve">valore dell’attivo patrimoniale della Fondazione </w:t>
      </w:r>
      <w:r w:rsidR="00361053" w:rsidRPr="00A014B9">
        <w:t xml:space="preserve">è pari a </w:t>
      </w:r>
      <w:r w:rsidR="004542AD" w:rsidRPr="00A014B9">
        <w:t>4</w:t>
      </w:r>
      <w:r w:rsidR="00C00CDB" w:rsidRPr="00A014B9">
        <w:t>5</w:t>
      </w:r>
      <w:r w:rsidR="004542AD" w:rsidRPr="00A014B9">
        <w:t>,6</w:t>
      </w:r>
      <w:r w:rsidR="00237354" w:rsidRPr="00A014B9">
        <w:t xml:space="preserve"> </w:t>
      </w:r>
      <w:r w:rsidR="0012441F" w:rsidRPr="00A014B9">
        <w:t>mi</w:t>
      </w:r>
      <w:r w:rsidR="00237354" w:rsidRPr="00A014B9">
        <w:t xml:space="preserve">lioni di </w:t>
      </w:r>
      <w:proofErr w:type="gramStart"/>
      <w:r w:rsidR="00237354" w:rsidRPr="00A014B9">
        <w:t xml:space="preserve">euro </w:t>
      </w:r>
      <w:r w:rsidR="004542AD" w:rsidRPr="00A014B9">
        <w:t xml:space="preserve"> di</w:t>
      </w:r>
      <w:proofErr w:type="gramEnd"/>
      <w:r w:rsidR="004542AD" w:rsidRPr="00A014B9">
        <w:t xml:space="preserve"> cui</w:t>
      </w:r>
      <w:r w:rsidR="00C00CDB" w:rsidRPr="00A014B9">
        <w:t>;</w:t>
      </w:r>
    </w:p>
    <w:p w:rsidR="004542AD" w:rsidRPr="00A014B9" w:rsidRDefault="004542AD" w:rsidP="00690BA9">
      <w:pPr>
        <w:jc w:val="both"/>
      </w:pPr>
      <w:r w:rsidRPr="00A014B9">
        <w:t>58,</w:t>
      </w:r>
      <w:r w:rsidR="00C00CDB" w:rsidRPr="00A014B9">
        <w:t>7</w:t>
      </w:r>
      <w:proofErr w:type="gramStart"/>
      <w:r w:rsidRPr="00A014B9">
        <w:t>%  portafoglio</w:t>
      </w:r>
      <w:proofErr w:type="gramEnd"/>
      <w:r w:rsidRPr="00A014B9">
        <w:t xml:space="preserve"> libero (GP Eurizon, Banca Profilo e</w:t>
      </w:r>
      <w:r w:rsidR="00C00CDB" w:rsidRPr="00A014B9">
        <w:t xml:space="preserve"> Banca Generali</w:t>
      </w:r>
      <w:r w:rsidR="00B7050A" w:rsidRPr="00A014B9">
        <w:t xml:space="preserve"> già  GP </w:t>
      </w:r>
      <w:proofErr w:type="spellStart"/>
      <w:r w:rsidR="00B7050A" w:rsidRPr="00A014B9">
        <w:t>Nextam</w:t>
      </w:r>
      <w:proofErr w:type="spellEnd"/>
      <w:r w:rsidR="00B7050A" w:rsidRPr="00A014B9">
        <w:t xml:space="preserve"> Partners SGR </w:t>
      </w:r>
      <w:r w:rsidRPr="00A014B9">
        <w:t>)</w:t>
      </w:r>
      <w:r w:rsidR="009F6115" w:rsidRPr="00A014B9">
        <w:t>;</w:t>
      </w:r>
    </w:p>
    <w:p w:rsidR="004542AD" w:rsidRPr="00A014B9" w:rsidRDefault="00C00CDB" w:rsidP="009C0FBC">
      <w:pPr>
        <w:jc w:val="both"/>
      </w:pPr>
      <w:r w:rsidRPr="00A014B9">
        <w:t>41,3</w:t>
      </w:r>
      <w:r w:rsidR="004542AD" w:rsidRPr="00A014B9">
        <w:t xml:space="preserve">% </w:t>
      </w:r>
      <w:r w:rsidRPr="00A014B9">
        <w:t>p</w:t>
      </w:r>
      <w:r w:rsidR="004542AD" w:rsidRPr="00A014B9">
        <w:t>ortafo</w:t>
      </w:r>
      <w:r w:rsidRPr="00A014B9">
        <w:t>g</w:t>
      </w:r>
      <w:r w:rsidR="004542AD" w:rsidRPr="00A014B9">
        <w:t xml:space="preserve">lio immobilizzato </w:t>
      </w:r>
      <w:proofErr w:type="gramStart"/>
      <w:r w:rsidR="004542AD" w:rsidRPr="00A014B9">
        <w:t>( Polizze</w:t>
      </w:r>
      <w:proofErr w:type="gramEnd"/>
      <w:r w:rsidR="004542AD" w:rsidRPr="00A014B9">
        <w:t xml:space="preserve"> assicurative, Conto Amministrat</w:t>
      </w:r>
      <w:r w:rsidRPr="00A014B9">
        <w:t>o</w:t>
      </w:r>
      <w:r w:rsidR="005E4738" w:rsidRPr="00A014B9">
        <w:t xml:space="preserve"> </w:t>
      </w:r>
      <w:r w:rsidRPr="00A014B9">
        <w:t xml:space="preserve">e </w:t>
      </w:r>
      <w:r w:rsidR="005E4738" w:rsidRPr="00A014B9">
        <w:t xml:space="preserve">CDP </w:t>
      </w:r>
      <w:proofErr w:type="spellStart"/>
      <w:r w:rsidR="005E4738" w:rsidRPr="00A014B9">
        <w:t>SpA</w:t>
      </w:r>
      <w:proofErr w:type="spellEnd"/>
      <w:r w:rsidR="004542AD" w:rsidRPr="00A014B9">
        <w:t>)</w:t>
      </w:r>
      <w:r w:rsidRPr="00A014B9">
        <w:t>.</w:t>
      </w:r>
    </w:p>
    <w:p w:rsidR="00C00CDB" w:rsidRPr="00A014B9" w:rsidRDefault="00C00CDB" w:rsidP="00C00CDB">
      <w:pPr>
        <w:ind w:left="-5" w:right="37"/>
      </w:pPr>
    </w:p>
    <w:p w:rsidR="00C00CDB" w:rsidRPr="00A014B9" w:rsidRDefault="00C00CDB" w:rsidP="0079514C">
      <w:pPr>
        <w:ind w:left="-5" w:right="37"/>
        <w:jc w:val="both"/>
        <w:rPr>
          <w:rFonts w:eastAsia="Book Antiqua"/>
        </w:rPr>
      </w:pPr>
      <w:r w:rsidRPr="00A014B9">
        <w:t xml:space="preserve">Il rendimento obiettivo annuo </w:t>
      </w:r>
      <w:proofErr w:type="gramStart"/>
      <w:r w:rsidRPr="00A014B9">
        <w:t>atteso  secondo</w:t>
      </w:r>
      <w:proofErr w:type="gramEnd"/>
      <w:r w:rsidRPr="00A014B9">
        <w:t xml:space="preserve"> una logica </w:t>
      </w:r>
      <w:r w:rsidRPr="00A014B9">
        <w:rPr>
          <w:rFonts w:eastAsia="Book Antiqua"/>
        </w:rPr>
        <w:t>di medio termine</w:t>
      </w:r>
      <w:r w:rsidRPr="00A014B9">
        <w:t xml:space="preserve"> </w:t>
      </w:r>
      <w:r w:rsidR="0079514C" w:rsidRPr="00A014B9">
        <w:rPr>
          <w:rFonts w:eastAsia="Book Antiqua"/>
        </w:rPr>
        <w:t xml:space="preserve">in un contesto di mercato “normale” </w:t>
      </w:r>
      <w:r w:rsidRPr="00A014B9">
        <w:t xml:space="preserve">non utilizzando la distinzione tra portafoglio libero e immobilizzato, ma la valorizzazione di tutti gli strumenti, con </w:t>
      </w:r>
      <w:r w:rsidR="00936521" w:rsidRPr="00A014B9">
        <w:t xml:space="preserve"> l’esclusione</w:t>
      </w:r>
      <w:r w:rsidRPr="00A014B9">
        <w:t xml:space="preserve"> di CDP che non è quotata, sarebbe pari a </w:t>
      </w:r>
      <w:r w:rsidRPr="00A014B9">
        <w:rPr>
          <w:rFonts w:eastAsia="Book Antiqua"/>
        </w:rPr>
        <w:t>+</w:t>
      </w:r>
      <w:r w:rsidR="00936521" w:rsidRPr="00A014B9">
        <w:rPr>
          <w:rFonts w:eastAsia="Book Antiqua"/>
        </w:rPr>
        <w:t>2,53</w:t>
      </w:r>
      <w:r w:rsidRPr="00A014B9">
        <w:rPr>
          <w:rFonts w:eastAsia="Book Antiqua"/>
        </w:rPr>
        <w:t xml:space="preserve">%. </w:t>
      </w:r>
    </w:p>
    <w:p w:rsidR="004E1BCE" w:rsidRPr="00A014B9" w:rsidRDefault="004E1BCE" w:rsidP="0079514C">
      <w:pPr>
        <w:ind w:left="-5" w:right="37"/>
        <w:jc w:val="both"/>
      </w:pPr>
      <w:r w:rsidRPr="00A014B9">
        <w:lastRenderedPageBreak/>
        <w:t xml:space="preserve">Dalla partecipazione in CDP si attende, in forma prudenziale, un </w:t>
      </w:r>
      <w:proofErr w:type="gramStart"/>
      <w:r w:rsidRPr="00A014B9">
        <w:t>ritorno  più</w:t>
      </w:r>
      <w:proofErr w:type="gramEnd"/>
      <w:r w:rsidRPr="00A014B9">
        <w:t xml:space="preserve"> contenuto rispetto a quello distribuito dalla Cassa agli azionisti negli esercizi 2019 e 2020.</w:t>
      </w:r>
    </w:p>
    <w:p w:rsidR="0079514C" w:rsidRPr="00A014B9" w:rsidRDefault="0079514C" w:rsidP="00C00CDB">
      <w:pPr>
        <w:spacing w:line="259" w:lineRule="auto"/>
      </w:pPr>
    </w:p>
    <w:p w:rsidR="00DC7F53" w:rsidRPr="00A014B9" w:rsidRDefault="0079514C" w:rsidP="00DC7F53">
      <w:pPr>
        <w:pStyle w:val="Delibera"/>
        <w:widowControl/>
        <w:tabs>
          <w:tab w:val="clear" w:pos="567"/>
          <w:tab w:val="left" w:pos="708"/>
        </w:tabs>
        <w:overflowPunct/>
        <w:autoSpaceDE/>
        <w:adjustRightInd/>
        <w:spacing w:line="240" w:lineRule="auto"/>
        <w:rPr>
          <w:szCs w:val="24"/>
        </w:rPr>
      </w:pPr>
      <w:r w:rsidRPr="00A014B9">
        <w:rPr>
          <w:szCs w:val="24"/>
        </w:rPr>
        <w:t xml:space="preserve">Ciò porta ad una </w:t>
      </w:r>
      <w:r w:rsidR="00936521" w:rsidRPr="00A014B9">
        <w:rPr>
          <w:szCs w:val="24"/>
        </w:rPr>
        <w:t xml:space="preserve">  conferma delle previsioni contenute nella </w:t>
      </w:r>
      <w:proofErr w:type="gramStart"/>
      <w:r w:rsidR="00936521" w:rsidRPr="00A014B9">
        <w:rPr>
          <w:szCs w:val="24"/>
        </w:rPr>
        <w:t xml:space="preserve">precedente  </w:t>
      </w:r>
      <w:r w:rsidRPr="00A014B9">
        <w:rPr>
          <w:szCs w:val="24"/>
        </w:rPr>
        <w:t>Nota</w:t>
      </w:r>
      <w:proofErr w:type="gramEnd"/>
      <w:r w:rsidRPr="00A014B9">
        <w:rPr>
          <w:szCs w:val="24"/>
        </w:rPr>
        <w:t xml:space="preserve"> di aggiornamento al Piano di Programmazione Pluriennale relativa all’esercizio 2020</w:t>
      </w:r>
      <w:r w:rsidR="00936521" w:rsidRPr="00A014B9">
        <w:rPr>
          <w:szCs w:val="24"/>
        </w:rPr>
        <w:t>.</w:t>
      </w:r>
    </w:p>
    <w:p w:rsidR="00A969E3" w:rsidRPr="00A014B9" w:rsidRDefault="00A969E3" w:rsidP="00A969E3">
      <w:pPr>
        <w:autoSpaceDE w:val="0"/>
        <w:autoSpaceDN w:val="0"/>
        <w:adjustRightInd w:val="0"/>
        <w:jc w:val="both"/>
        <w:rPr>
          <w:iCs/>
        </w:rPr>
      </w:pPr>
    </w:p>
    <w:p w:rsidR="00DC7F53" w:rsidRPr="00A014B9" w:rsidRDefault="00B7050A" w:rsidP="00DC7F53">
      <w:pPr>
        <w:jc w:val="both"/>
      </w:pPr>
      <w:r w:rsidRPr="00A014B9">
        <w:t xml:space="preserve">Per i costi non si prevedono </w:t>
      </w:r>
      <w:proofErr w:type="gramStart"/>
      <w:r w:rsidR="0079514C" w:rsidRPr="00A014B9">
        <w:t xml:space="preserve">sostanziali </w:t>
      </w:r>
      <w:r w:rsidR="00690BA9" w:rsidRPr="00A014B9">
        <w:t xml:space="preserve"> scostamenti</w:t>
      </w:r>
      <w:proofErr w:type="gramEnd"/>
      <w:r w:rsidR="00690BA9" w:rsidRPr="00A014B9">
        <w:t xml:space="preserve"> dalla previsioni già for</w:t>
      </w:r>
      <w:r w:rsidR="00FD7052" w:rsidRPr="00A014B9">
        <w:t>mulate nel Piano triennale 2019</w:t>
      </w:r>
      <w:r w:rsidR="00E32B58" w:rsidRPr="00A014B9">
        <w:t>-</w:t>
      </w:r>
      <w:r w:rsidR="00690BA9" w:rsidRPr="00A014B9">
        <w:t>2021</w:t>
      </w:r>
      <w:r w:rsidR="005D63D9" w:rsidRPr="00A014B9">
        <w:t xml:space="preserve"> che risultano pertanto</w:t>
      </w:r>
      <w:r w:rsidR="00690BA9" w:rsidRPr="00A014B9">
        <w:t xml:space="preserve"> </w:t>
      </w:r>
      <w:r w:rsidR="00953ED9" w:rsidRPr="00A014B9">
        <w:t xml:space="preserve"> </w:t>
      </w:r>
      <w:r w:rsidR="00DC7F53" w:rsidRPr="00A014B9">
        <w:t>:</w:t>
      </w:r>
    </w:p>
    <w:p w:rsidR="00DC7F53" w:rsidRPr="00A014B9" w:rsidRDefault="00DC7F53" w:rsidP="00953ED9">
      <w:pPr>
        <w:pStyle w:val="Corpodeltesto2"/>
        <w:numPr>
          <w:ilvl w:val="0"/>
          <w:numId w:val="19"/>
        </w:numPr>
        <w:tabs>
          <w:tab w:val="clear" w:pos="1260"/>
        </w:tabs>
        <w:spacing w:line="240" w:lineRule="auto"/>
        <w:ind w:left="284" w:hanging="284"/>
        <w:jc w:val="both"/>
        <w:rPr>
          <w:i/>
          <w:color w:val="000000"/>
        </w:rPr>
      </w:pPr>
      <w:r w:rsidRPr="00A014B9">
        <w:rPr>
          <w:color w:val="000000"/>
        </w:rPr>
        <w:t xml:space="preserve">rendite da patrimonio </w:t>
      </w:r>
      <w:r w:rsidR="00FC00EE" w:rsidRPr="00A014B9">
        <w:rPr>
          <w:color w:val="000000"/>
        </w:rPr>
        <w:t>f</w:t>
      </w:r>
      <w:r w:rsidR="00B74D34" w:rsidRPr="00A014B9">
        <w:rPr>
          <w:color w:val="000000"/>
        </w:rPr>
        <w:t>inanziario</w:t>
      </w:r>
      <w:r w:rsidR="00321927" w:rsidRPr="00A014B9">
        <w:rPr>
          <w:color w:val="000000"/>
        </w:rPr>
        <w:t xml:space="preserve">, </w:t>
      </w:r>
      <w:r w:rsidR="00B74D34" w:rsidRPr="00A014B9">
        <w:rPr>
          <w:color w:val="000000"/>
        </w:rPr>
        <w:t>ricavi dell’impresa strumentale</w:t>
      </w:r>
      <w:r w:rsidR="00321927" w:rsidRPr="00A014B9">
        <w:rPr>
          <w:color w:val="000000"/>
        </w:rPr>
        <w:t xml:space="preserve"> e contributi</w:t>
      </w:r>
      <w:r w:rsidR="00B74D34" w:rsidRPr="00A014B9">
        <w:rPr>
          <w:color w:val="000000"/>
        </w:rPr>
        <w:t xml:space="preserve"> </w:t>
      </w:r>
      <w:r w:rsidR="00FC00EE" w:rsidRPr="00A014B9">
        <w:rPr>
          <w:color w:val="000000"/>
        </w:rPr>
        <w:t xml:space="preserve">  pari a circa </w:t>
      </w:r>
      <w:r w:rsidRPr="00A014B9">
        <w:rPr>
          <w:color w:val="000000"/>
        </w:rPr>
        <w:t xml:space="preserve">  </w:t>
      </w:r>
      <w:r w:rsidR="0079514C" w:rsidRPr="00A014B9">
        <w:rPr>
          <w:color w:val="000000"/>
        </w:rPr>
        <w:t>1,</w:t>
      </w:r>
      <w:r w:rsidR="00936521" w:rsidRPr="00A014B9">
        <w:rPr>
          <w:color w:val="000000"/>
        </w:rPr>
        <w:t>63</w:t>
      </w:r>
      <w:r w:rsidR="00095E02" w:rsidRPr="00A014B9">
        <w:rPr>
          <w:color w:val="000000"/>
        </w:rPr>
        <w:t xml:space="preserve"> </w:t>
      </w:r>
      <w:r w:rsidRPr="00A014B9">
        <w:rPr>
          <w:color w:val="000000"/>
        </w:rPr>
        <w:t>milioni di euro</w:t>
      </w:r>
      <w:r w:rsidR="00953ED9" w:rsidRPr="00A014B9">
        <w:rPr>
          <w:color w:val="000000"/>
        </w:rPr>
        <w:t>;</w:t>
      </w:r>
    </w:p>
    <w:p w:rsidR="00B74D34" w:rsidRPr="00A014B9" w:rsidRDefault="00DC7F53" w:rsidP="00953ED9">
      <w:pPr>
        <w:pStyle w:val="Corpodeltesto2"/>
        <w:numPr>
          <w:ilvl w:val="0"/>
          <w:numId w:val="19"/>
        </w:numPr>
        <w:tabs>
          <w:tab w:val="clear" w:pos="1260"/>
        </w:tabs>
        <w:spacing w:line="240" w:lineRule="auto"/>
        <w:ind w:left="284" w:hanging="284"/>
        <w:jc w:val="both"/>
        <w:rPr>
          <w:i/>
          <w:color w:val="000000"/>
        </w:rPr>
      </w:pPr>
      <w:r w:rsidRPr="00A014B9">
        <w:rPr>
          <w:color w:val="000000"/>
        </w:rPr>
        <w:t xml:space="preserve">le </w:t>
      </w:r>
      <w:r w:rsidR="00B74D34" w:rsidRPr="00A014B9">
        <w:rPr>
          <w:color w:val="000000"/>
        </w:rPr>
        <w:t xml:space="preserve">spese di funzionamento, </w:t>
      </w:r>
      <w:r w:rsidR="0079514C" w:rsidRPr="00A014B9">
        <w:rPr>
          <w:color w:val="000000"/>
        </w:rPr>
        <w:t>0,55</w:t>
      </w:r>
      <w:r w:rsidRPr="00A014B9">
        <w:rPr>
          <w:color w:val="000000"/>
        </w:rPr>
        <w:t xml:space="preserve"> </w:t>
      </w:r>
      <w:r w:rsidR="00B74D34" w:rsidRPr="00A014B9">
        <w:rPr>
          <w:color w:val="000000"/>
        </w:rPr>
        <w:t>milioni di euro</w:t>
      </w:r>
      <w:r w:rsidR="00FD7052" w:rsidRPr="00A014B9">
        <w:rPr>
          <w:color w:val="000000"/>
        </w:rPr>
        <w:t>;</w:t>
      </w:r>
    </w:p>
    <w:p w:rsidR="00DC7F53" w:rsidRPr="00A014B9" w:rsidRDefault="00DC7F53" w:rsidP="00953ED9">
      <w:pPr>
        <w:pStyle w:val="Corpodeltesto2"/>
        <w:numPr>
          <w:ilvl w:val="0"/>
          <w:numId w:val="19"/>
        </w:numPr>
        <w:tabs>
          <w:tab w:val="clear" w:pos="1260"/>
        </w:tabs>
        <w:spacing w:line="240" w:lineRule="auto"/>
        <w:ind w:left="284" w:hanging="284"/>
        <w:jc w:val="both"/>
        <w:rPr>
          <w:i/>
          <w:color w:val="000000"/>
        </w:rPr>
      </w:pPr>
      <w:r w:rsidRPr="00A014B9">
        <w:rPr>
          <w:color w:val="000000"/>
        </w:rPr>
        <w:t xml:space="preserve">le </w:t>
      </w:r>
      <w:proofErr w:type="gramStart"/>
      <w:r w:rsidR="00FC00EE" w:rsidRPr="00A014B9">
        <w:rPr>
          <w:color w:val="000000"/>
        </w:rPr>
        <w:t>imposte,  pari</w:t>
      </w:r>
      <w:proofErr w:type="gramEnd"/>
      <w:r w:rsidR="00FC00EE" w:rsidRPr="00A014B9">
        <w:rPr>
          <w:color w:val="000000"/>
        </w:rPr>
        <w:t xml:space="preserve"> </w:t>
      </w:r>
      <w:r w:rsidRPr="00A014B9">
        <w:rPr>
          <w:color w:val="000000"/>
        </w:rPr>
        <w:t xml:space="preserve"> </w:t>
      </w:r>
      <w:r w:rsidR="00B74D34" w:rsidRPr="00A014B9">
        <w:rPr>
          <w:color w:val="000000"/>
        </w:rPr>
        <w:t>0,</w:t>
      </w:r>
      <w:r w:rsidR="0079514C" w:rsidRPr="00A014B9">
        <w:rPr>
          <w:color w:val="000000"/>
        </w:rPr>
        <w:t>21</w:t>
      </w:r>
      <w:r w:rsidR="00095E02" w:rsidRPr="00A014B9">
        <w:rPr>
          <w:color w:val="000000"/>
        </w:rPr>
        <w:t xml:space="preserve"> </w:t>
      </w:r>
      <w:r w:rsidRPr="00A014B9">
        <w:rPr>
          <w:color w:val="000000"/>
        </w:rPr>
        <w:t>milioni di euro</w:t>
      </w:r>
      <w:r w:rsidR="00953ED9" w:rsidRPr="00A014B9">
        <w:rPr>
          <w:color w:val="000000"/>
        </w:rPr>
        <w:t>;</w:t>
      </w:r>
    </w:p>
    <w:p w:rsidR="00DC7F53" w:rsidRPr="00A014B9" w:rsidRDefault="00953ED9" w:rsidP="009B6BCC">
      <w:pPr>
        <w:pStyle w:val="Corpodeltesto2"/>
        <w:numPr>
          <w:ilvl w:val="0"/>
          <w:numId w:val="19"/>
        </w:numPr>
        <w:tabs>
          <w:tab w:val="clear" w:pos="1260"/>
        </w:tabs>
        <w:spacing w:line="240" w:lineRule="auto"/>
        <w:ind w:left="284" w:hanging="284"/>
        <w:jc w:val="both"/>
        <w:rPr>
          <w:i/>
          <w:color w:val="000000"/>
        </w:rPr>
      </w:pPr>
      <w:r w:rsidRPr="00A014B9">
        <w:rPr>
          <w:color w:val="000000"/>
        </w:rPr>
        <w:t>g</w:t>
      </w:r>
      <w:r w:rsidR="00DC7F53" w:rsidRPr="00A014B9">
        <w:rPr>
          <w:color w:val="000000"/>
        </w:rPr>
        <w:t xml:space="preserve">li </w:t>
      </w:r>
      <w:proofErr w:type="gramStart"/>
      <w:r w:rsidR="00DC7F53" w:rsidRPr="00A014B9">
        <w:rPr>
          <w:color w:val="000000"/>
        </w:rPr>
        <w:t>acc</w:t>
      </w:r>
      <w:r w:rsidR="0069151A" w:rsidRPr="00A014B9">
        <w:rPr>
          <w:color w:val="000000"/>
        </w:rPr>
        <w:t xml:space="preserve">antonamenti </w:t>
      </w:r>
      <w:r w:rsidR="00FC00EE" w:rsidRPr="00A014B9">
        <w:rPr>
          <w:color w:val="000000"/>
        </w:rPr>
        <w:t xml:space="preserve"> pari</w:t>
      </w:r>
      <w:proofErr w:type="gramEnd"/>
      <w:r w:rsidR="00FC00EE" w:rsidRPr="00A014B9">
        <w:rPr>
          <w:color w:val="000000"/>
        </w:rPr>
        <w:t xml:space="preserve"> a </w:t>
      </w:r>
      <w:r w:rsidR="00095E02" w:rsidRPr="00A014B9">
        <w:rPr>
          <w:color w:val="000000"/>
        </w:rPr>
        <w:t>0,</w:t>
      </w:r>
      <w:r w:rsidR="00E167C3" w:rsidRPr="00A014B9">
        <w:rPr>
          <w:color w:val="000000"/>
        </w:rPr>
        <w:t>3</w:t>
      </w:r>
      <w:r w:rsidR="00321927" w:rsidRPr="00A014B9">
        <w:rPr>
          <w:color w:val="000000"/>
        </w:rPr>
        <w:t>7</w:t>
      </w:r>
      <w:r w:rsidRPr="00A014B9">
        <w:rPr>
          <w:color w:val="000000"/>
        </w:rPr>
        <w:t xml:space="preserve"> milioni di euro;</w:t>
      </w:r>
      <w:r w:rsidR="00DC7F53" w:rsidRPr="00A014B9">
        <w:rPr>
          <w:color w:val="000000"/>
        </w:rPr>
        <w:t xml:space="preserve"> </w:t>
      </w:r>
    </w:p>
    <w:p w:rsidR="003C6200" w:rsidRPr="00A014B9" w:rsidRDefault="00953ED9" w:rsidP="00953ED9">
      <w:pPr>
        <w:pStyle w:val="Corpodeltesto2"/>
        <w:numPr>
          <w:ilvl w:val="0"/>
          <w:numId w:val="19"/>
        </w:numPr>
        <w:tabs>
          <w:tab w:val="clear" w:pos="1260"/>
        </w:tabs>
        <w:spacing w:line="240" w:lineRule="auto"/>
        <w:ind w:left="284" w:hanging="284"/>
        <w:jc w:val="both"/>
        <w:rPr>
          <w:i/>
          <w:color w:val="000000"/>
        </w:rPr>
      </w:pPr>
      <w:r w:rsidRPr="00A014B9">
        <w:rPr>
          <w:color w:val="000000"/>
        </w:rPr>
        <w:t>l</w:t>
      </w:r>
      <w:r w:rsidR="003C6200" w:rsidRPr="00A014B9">
        <w:rPr>
          <w:color w:val="000000"/>
        </w:rPr>
        <w:t>a disponibilità che residua per l’atti</w:t>
      </w:r>
      <w:r w:rsidR="006145D8" w:rsidRPr="00A014B9">
        <w:rPr>
          <w:color w:val="000000"/>
        </w:rPr>
        <w:t xml:space="preserve">vità </w:t>
      </w:r>
      <w:proofErr w:type="gramStart"/>
      <w:r w:rsidR="00B74D34" w:rsidRPr="00A014B9">
        <w:rPr>
          <w:color w:val="000000"/>
        </w:rPr>
        <w:t>istituzionale  pari</w:t>
      </w:r>
      <w:proofErr w:type="gramEnd"/>
      <w:r w:rsidR="00B74D34" w:rsidRPr="00A014B9">
        <w:rPr>
          <w:color w:val="000000"/>
        </w:rPr>
        <w:t xml:space="preserve"> a </w:t>
      </w:r>
      <w:r w:rsidR="00B62469" w:rsidRPr="00A014B9">
        <w:rPr>
          <w:color w:val="000000"/>
        </w:rPr>
        <w:t>0,</w:t>
      </w:r>
      <w:r w:rsidR="00936521" w:rsidRPr="00A014B9">
        <w:rPr>
          <w:color w:val="000000"/>
        </w:rPr>
        <w:t>50</w:t>
      </w:r>
      <w:r w:rsidR="003C6200" w:rsidRPr="00A014B9">
        <w:rPr>
          <w:color w:val="000000"/>
        </w:rPr>
        <w:t xml:space="preserve"> milioni euro</w:t>
      </w:r>
      <w:r w:rsidR="005D63D9" w:rsidRPr="00A014B9">
        <w:rPr>
          <w:color w:val="000000"/>
        </w:rPr>
        <w:t xml:space="preserve"> da accantonare</w:t>
      </w:r>
      <w:r w:rsidR="00B74D34" w:rsidRPr="00A014B9">
        <w:rPr>
          <w:color w:val="000000"/>
        </w:rPr>
        <w:t>.</w:t>
      </w:r>
    </w:p>
    <w:p w:rsidR="00953ED9" w:rsidRPr="00A014B9" w:rsidRDefault="00953ED9" w:rsidP="00953ED9">
      <w:pPr>
        <w:pStyle w:val="Corpodeltesto2"/>
        <w:spacing w:line="240" w:lineRule="auto"/>
        <w:ind w:left="284" w:hanging="284"/>
        <w:jc w:val="both"/>
        <w:rPr>
          <w:color w:val="auto"/>
        </w:rPr>
      </w:pPr>
    </w:p>
    <w:p w:rsidR="009E3180" w:rsidRPr="00A014B9" w:rsidRDefault="007C0C8B" w:rsidP="00953ED9">
      <w:pPr>
        <w:pStyle w:val="Corpodeltesto2"/>
        <w:spacing w:line="240" w:lineRule="auto"/>
        <w:jc w:val="both"/>
        <w:rPr>
          <w:color w:val="auto"/>
        </w:rPr>
      </w:pPr>
      <w:r w:rsidRPr="00A014B9">
        <w:rPr>
          <w:color w:val="auto"/>
        </w:rPr>
        <w:t xml:space="preserve">Per consentire un livello di attività </w:t>
      </w:r>
      <w:r w:rsidR="009041D6" w:rsidRPr="00A014B9">
        <w:rPr>
          <w:color w:val="auto"/>
        </w:rPr>
        <w:t xml:space="preserve">in linea con gli esercizi precedenti ma anche adeguato </w:t>
      </w:r>
      <w:r w:rsidR="00B7050A" w:rsidRPr="00A014B9">
        <w:rPr>
          <w:color w:val="auto"/>
        </w:rPr>
        <w:t xml:space="preserve">  </w:t>
      </w:r>
      <w:r w:rsidR="009041D6" w:rsidRPr="00A014B9">
        <w:rPr>
          <w:color w:val="auto"/>
        </w:rPr>
        <w:t xml:space="preserve">a </w:t>
      </w:r>
      <w:r w:rsidR="00B7050A" w:rsidRPr="00A014B9">
        <w:rPr>
          <w:color w:val="auto"/>
        </w:rPr>
        <w:t xml:space="preserve">supplire </w:t>
      </w:r>
      <w:proofErr w:type="gramStart"/>
      <w:r w:rsidR="00B7050A" w:rsidRPr="00A014B9">
        <w:rPr>
          <w:color w:val="auto"/>
        </w:rPr>
        <w:t>alle  nuove</w:t>
      </w:r>
      <w:proofErr w:type="gramEnd"/>
      <w:r w:rsidR="00B7050A" w:rsidRPr="00A014B9">
        <w:rPr>
          <w:color w:val="auto"/>
        </w:rPr>
        <w:t xml:space="preserve"> situazioni di difficoltà che emergono anche nella comunità di intervento dell’Ente per effetto della pandemia da Covid-19</w:t>
      </w:r>
      <w:r w:rsidRPr="00A014B9">
        <w:rPr>
          <w:color w:val="auto"/>
        </w:rPr>
        <w:t xml:space="preserve">,  </w:t>
      </w:r>
      <w:r w:rsidR="009041D6" w:rsidRPr="00A014B9">
        <w:rPr>
          <w:color w:val="auto"/>
        </w:rPr>
        <w:t xml:space="preserve">si conferma </w:t>
      </w:r>
      <w:r w:rsidRPr="00A014B9">
        <w:rPr>
          <w:color w:val="auto"/>
        </w:rPr>
        <w:t xml:space="preserve">   la previsione di impiegare </w:t>
      </w:r>
      <w:r w:rsidR="00B7050A" w:rsidRPr="00A014B9">
        <w:rPr>
          <w:color w:val="auto"/>
        </w:rPr>
        <w:t xml:space="preserve">  </w:t>
      </w:r>
      <w:r w:rsidRPr="00A014B9">
        <w:rPr>
          <w:color w:val="auto"/>
        </w:rPr>
        <w:t xml:space="preserve"> risorse aggiuntive  dalle riserve e dagli accantonamenti operati negli anni precedenti</w:t>
      </w:r>
      <w:r w:rsidR="009E3180" w:rsidRPr="00A014B9">
        <w:rPr>
          <w:color w:val="auto"/>
        </w:rPr>
        <w:t>.</w:t>
      </w:r>
    </w:p>
    <w:p w:rsidR="00322B8E" w:rsidRPr="00A014B9" w:rsidRDefault="00322B8E" w:rsidP="00953ED9">
      <w:pPr>
        <w:pStyle w:val="Corpodeltesto2"/>
        <w:spacing w:line="240" w:lineRule="auto"/>
        <w:jc w:val="both"/>
        <w:rPr>
          <w:color w:val="auto"/>
        </w:rPr>
      </w:pPr>
    </w:p>
    <w:p w:rsidR="00F830CE" w:rsidRPr="006F1718" w:rsidRDefault="009041D6" w:rsidP="00DC7F53">
      <w:pPr>
        <w:pStyle w:val="Corpodeltesto2"/>
        <w:spacing w:line="240" w:lineRule="auto"/>
        <w:jc w:val="both"/>
        <w:rPr>
          <w:color w:val="000000"/>
        </w:rPr>
      </w:pPr>
      <w:r w:rsidRPr="00A014B9">
        <w:rPr>
          <w:color w:val="auto"/>
        </w:rPr>
        <w:t>Nel rispetto di quanto stabilito  nel Piano di Programmazione Pluriennale 2019</w:t>
      </w:r>
      <w:r w:rsidR="00936521" w:rsidRPr="00A014B9">
        <w:rPr>
          <w:color w:val="auto"/>
        </w:rPr>
        <w:t>-</w:t>
      </w:r>
      <w:r w:rsidRPr="00A014B9">
        <w:rPr>
          <w:color w:val="auto"/>
        </w:rPr>
        <w:t xml:space="preserve">2021 per l’ultimo esercizio  il totale dei fondi per attività istituzionale è pari alla relativa quota residuale del triennio </w:t>
      </w:r>
      <w:r w:rsidR="009E3180" w:rsidRPr="00A014B9">
        <w:rPr>
          <w:color w:val="auto"/>
        </w:rPr>
        <w:t xml:space="preserve">per un totale </w:t>
      </w:r>
      <w:r w:rsidR="006D222A" w:rsidRPr="00A014B9">
        <w:rPr>
          <w:color w:val="auto"/>
        </w:rPr>
        <w:t xml:space="preserve">pari a 1,2 </w:t>
      </w:r>
      <w:r w:rsidR="007C0C8B" w:rsidRPr="00A014B9">
        <w:rPr>
          <w:color w:val="auto"/>
        </w:rPr>
        <w:t>milioni di euro</w:t>
      </w:r>
      <w:r w:rsidR="00FD7052" w:rsidRPr="00A014B9">
        <w:rPr>
          <w:color w:val="000000"/>
        </w:rPr>
        <w:t xml:space="preserve"> </w:t>
      </w:r>
      <w:r w:rsidR="006D222A" w:rsidRPr="00A014B9">
        <w:rPr>
          <w:color w:val="000000"/>
        </w:rPr>
        <w:t xml:space="preserve">che </w:t>
      </w:r>
      <w:r w:rsidR="00FD7052" w:rsidRPr="00A014B9">
        <w:rPr>
          <w:color w:val="000000"/>
        </w:rPr>
        <w:t>verranno prelevati  dal  F</w:t>
      </w:r>
      <w:r w:rsidR="007C0C8B" w:rsidRPr="00A014B9">
        <w:rPr>
          <w:color w:val="000000"/>
        </w:rPr>
        <w:t>ondo per  interventi istituzionali</w:t>
      </w:r>
      <w:r w:rsidR="003C6200" w:rsidRPr="00A014B9">
        <w:rPr>
          <w:color w:val="000000"/>
        </w:rPr>
        <w:t>.</w:t>
      </w:r>
      <w:bookmarkStart w:id="3" w:name="_GoBack"/>
      <w:bookmarkEnd w:id="3"/>
    </w:p>
    <w:p w:rsidR="00F0605C" w:rsidRPr="00A014B9" w:rsidRDefault="00F0605C" w:rsidP="00F0605C">
      <w:pPr>
        <w:pStyle w:val="Corpodeltesto2"/>
        <w:spacing w:line="240" w:lineRule="auto"/>
        <w:jc w:val="both"/>
        <w:rPr>
          <w:i/>
          <w:color w:val="000000"/>
        </w:rPr>
      </w:pPr>
    </w:p>
    <w:p w:rsidR="00F0605C" w:rsidRPr="00A014B9" w:rsidRDefault="00F0605C" w:rsidP="00F0605C">
      <w:pPr>
        <w:spacing w:line="360" w:lineRule="auto"/>
        <w:jc w:val="both"/>
      </w:pPr>
      <w:r w:rsidRPr="00A014B9">
        <w:rPr>
          <w:bCs/>
        </w:rPr>
        <w:t>Prospetto risorse /</w:t>
      </w:r>
      <w:proofErr w:type="gramStart"/>
      <w:r w:rsidRPr="00A014B9">
        <w:rPr>
          <w:bCs/>
        </w:rPr>
        <w:t>impieghi</w:t>
      </w:r>
      <w:r w:rsidRPr="00A014B9">
        <w:t xml:space="preserve">  </w:t>
      </w:r>
      <w:r w:rsidR="00131B19" w:rsidRPr="00A014B9">
        <w:t>(</w:t>
      </w:r>
      <w:proofErr w:type="gramEnd"/>
      <w:r w:rsidR="00131B19" w:rsidRPr="00A014B9">
        <w:t>x 000)</w:t>
      </w:r>
    </w:p>
    <w:tbl>
      <w:tblPr>
        <w:tblW w:w="757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62"/>
        <w:gridCol w:w="2614"/>
      </w:tblGrid>
      <w:tr w:rsidR="00F0605C" w:rsidRPr="00A014B9" w:rsidTr="00F0605C">
        <w:tc>
          <w:tcPr>
            <w:tcW w:w="4962" w:type="dxa"/>
            <w:tcBorders>
              <w:top w:val="single" w:sz="4" w:space="0" w:color="auto"/>
              <w:left w:val="single" w:sz="4" w:space="0" w:color="auto"/>
              <w:bottom w:val="single" w:sz="4" w:space="0" w:color="auto"/>
              <w:right w:val="single" w:sz="4" w:space="0" w:color="auto"/>
            </w:tcBorders>
          </w:tcPr>
          <w:p w:rsidR="00F0605C" w:rsidRPr="00A014B9" w:rsidRDefault="00F0605C" w:rsidP="00F0605C">
            <w:pPr>
              <w:spacing w:line="360" w:lineRule="auto"/>
              <w:jc w:val="both"/>
            </w:pPr>
          </w:p>
        </w:tc>
        <w:tc>
          <w:tcPr>
            <w:tcW w:w="2614" w:type="dxa"/>
            <w:tcBorders>
              <w:top w:val="single" w:sz="4" w:space="0" w:color="auto"/>
              <w:left w:val="single" w:sz="4" w:space="0" w:color="auto"/>
              <w:bottom w:val="single" w:sz="4" w:space="0" w:color="auto"/>
              <w:right w:val="single" w:sz="4" w:space="0" w:color="auto"/>
            </w:tcBorders>
          </w:tcPr>
          <w:p w:rsidR="00F0605C" w:rsidRPr="00A014B9" w:rsidRDefault="00B74D34" w:rsidP="00F0605C">
            <w:pPr>
              <w:spacing w:line="360" w:lineRule="auto"/>
              <w:jc w:val="center"/>
              <w:rPr>
                <w:bCs/>
              </w:rPr>
            </w:pPr>
            <w:r w:rsidRPr="00A014B9">
              <w:rPr>
                <w:bCs/>
              </w:rPr>
              <w:t>2021</w:t>
            </w:r>
          </w:p>
        </w:tc>
      </w:tr>
      <w:tr w:rsidR="00F0605C" w:rsidRPr="00A014B9" w:rsidTr="00F0605C">
        <w:tc>
          <w:tcPr>
            <w:tcW w:w="4962" w:type="dxa"/>
            <w:tcBorders>
              <w:top w:val="single" w:sz="4" w:space="0" w:color="auto"/>
              <w:left w:val="single" w:sz="4" w:space="0" w:color="auto"/>
              <w:bottom w:val="single" w:sz="4" w:space="0" w:color="auto"/>
              <w:right w:val="single" w:sz="4" w:space="0" w:color="auto"/>
            </w:tcBorders>
          </w:tcPr>
          <w:p w:rsidR="00F0605C" w:rsidRPr="00A014B9" w:rsidRDefault="00F0605C" w:rsidP="00F0605C">
            <w:pPr>
              <w:jc w:val="both"/>
            </w:pPr>
            <w:r w:rsidRPr="00A014B9">
              <w:t>Rendite lorde da patrimonio finanziario</w:t>
            </w:r>
          </w:p>
        </w:tc>
        <w:tc>
          <w:tcPr>
            <w:tcW w:w="2614" w:type="dxa"/>
            <w:tcBorders>
              <w:top w:val="single" w:sz="4" w:space="0" w:color="auto"/>
              <w:left w:val="single" w:sz="4" w:space="0" w:color="auto"/>
              <w:bottom w:val="single" w:sz="4" w:space="0" w:color="auto"/>
              <w:right w:val="single" w:sz="4" w:space="0" w:color="auto"/>
            </w:tcBorders>
          </w:tcPr>
          <w:p w:rsidR="00F0605C" w:rsidRPr="00A014B9" w:rsidRDefault="006D222A" w:rsidP="00F0605C">
            <w:pPr>
              <w:jc w:val="center"/>
            </w:pPr>
            <w:r w:rsidRPr="00A014B9">
              <w:t>1.</w:t>
            </w:r>
            <w:r w:rsidR="00E167C3" w:rsidRPr="00A014B9">
              <w:t>550</w:t>
            </w:r>
            <w:r w:rsidR="00131B19" w:rsidRPr="00A014B9">
              <w:t>,00</w:t>
            </w:r>
          </w:p>
          <w:p w:rsidR="00F0605C" w:rsidRPr="00A014B9" w:rsidRDefault="00F0605C" w:rsidP="00F0605C">
            <w:pPr>
              <w:jc w:val="center"/>
            </w:pPr>
          </w:p>
        </w:tc>
      </w:tr>
      <w:tr w:rsidR="00E167C3" w:rsidRPr="00A014B9" w:rsidTr="00F0605C">
        <w:tc>
          <w:tcPr>
            <w:tcW w:w="4962"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both"/>
            </w:pPr>
            <w:r w:rsidRPr="00A014B9">
              <w:t>Ricavi da impresa strumentale</w:t>
            </w:r>
          </w:p>
          <w:p w:rsidR="00E167C3" w:rsidRPr="00A014B9" w:rsidRDefault="00E167C3" w:rsidP="00E167C3">
            <w:pPr>
              <w:jc w:val="both"/>
            </w:pPr>
          </w:p>
        </w:tc>
        <w:tc>
          <w:tcPr>
            <w:tcW w:w="2614"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center"/>
            </w:pPr>
            <w:r w:rsidRPr="00A014B9">
              <w:t>50,00</w:t>
            </w:r>
          </w:p>
        </w:tc>
      </w:tr>
      <w:tr w:rsidR="00E167C3" w:rsidRPr="00A014B9" w:rsidTr="00F0605C">
        <w:tc>
          <w:tcPr>
            <w:tcW w:w="4962"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both"/>
            </w:pPr>
            <w:r w:rsidRPr="00A014B9">
              <w:t>Altri proventi</w:t>
            </w:r>
          </w:p>
          <w:p w:rsidR="00E167C3" w:rsidRPr="00A014B9" w:rsidRDefault="00E167C3" w:rsidP="00E167C3">
            <w:pPr>
              <w:jc w:val="both"/>
            </w:pPr>
          </w:p>
        </w:tc>
        <w:tc>
          <w:tcPr>
            <w:tcW w:w="2614"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center"/>
            </w:pPr>
            <w:r w:rsidRPr="00A014B9">
              <w:t>27,50</w:t>
            </w:r>
          </w:p>
        </w:tc>
      </w:tr>
      <w:tr w:rsidR="00E167C3" w:rsidRPr="00A014B9" w:rsidTr="00F0605C">
        <w:tc>
          <w:tcPr>
            <w:tcW w:w="4962"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both"/>
            </w:pPr>
            <w:r w:rsidRPr="00A014B9">
              <w:t xml:space="preserve">Spese di funzionamento </w:t>
            </w:r>
          </w:p>
        </w:tc>
        <w:tc>
          <w:tcPr>
            <w:tcW w:w="2614"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center"/>
            </w:pPr>
            <w:r w:rsidRPr="00A014B9">
              <w:t>(550,00)</w:t>
            </w:r>
          </w:p>
          <w:p w:rsidR="00E167C3" w:rsidRPr="00A014B9" w:rsidRDefault="00E167C3" w:rsidP="00E167C3">
            <w:pPr>
              <w:jc w:val="center"/>
            </w:pPr>
          </w:p>
        </w:tc>
      </w:tr>
      <w:tr w:rsidR="00E167C3" w:rsidRPr="00A014B9" w:rsidTr="00F0605C">
        <w:tc>
          <w:tcPr>
            <w:tcW w:w="4962"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pStyle w:val="Delibera"/>
              <w:tabs>
                <w:tab w:val="left" w:pos="708"/>
              </w:tabs>
              <w:spacing w:line="240" w:lineRule="auto"/>
              <w:textAlignment w:val="baseline"/>
              <w:rPr>
                <w:bCs/>
                <w:i/>
                <w:iCs/>
                <w:szCs w:val="22"/>
                <w:lang w:eastAsia="en-US"/>
              </w:rPr>
            </w:pPr>
            <w:r w:rsidRPr="00A014B9">
              <w:t xml:space="preserve">Imposte e tasse </w:t>
            </w:r>
          </w:p>
        </w:tc>
        <w:tc>
          <w:tcPr>
            <w:tcW w:w="2614"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center"/>
            </w:pPr>
            <w:r w:rsidRPr="00A014B9">
              <w:t>(210,00)</w:t>
            </w:r>
          </w:p>
          <w:p w:rsidR="00E167C3" w:rsidRPr="00A014B9" w:rsidRDefault="00E167C3" w:rsidP="00E167C3">
            <w:pPr>
              <w:jc w:val="center"/>
            </w:pPr>
          </w:p>
        </w:tc>
      </w:tr>
      <w:tr w:rsidR="00E167C3" w:rsidRPr="00A014B9" w:rsidTr="00F0605C">
        <w:tc>
          <w:tcPr>
            <w:tcW w:w="4962"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both"/>
            </w:pPr>
            <w:r w:rsidRPr="00A014B9">
              <w:t>Accantonamenti</w:t>
            </w:r>
          </w:p>
          <w:p w:rsidR="00E167C3" w:rsidRPr="00A014B9" w:rsidRDefault="00E167C3" w:rsidP="00E167C3">
            <w:pPr>
              <w:jc w:val="both"/>
            </w:pPr>
          </w:p>
        </w:tc>
        <w:tc>
          <w:tcPr>
            <w:tcW w:w="2614"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center"/>
            </w:pPr>
            <w:r w:rsidRPr="00A014B9">
              <w:t>(364,50)</w:t>
            </w:r>
          </w:p>
        </w:tc>
      </w:tr>
      <w:tr w:rsidR="00E167C3" w:rsidRPr="00A014B9" w:rsidTr="00F0605C">
        <w:tc>
          <w:tcPr>
            <w:tcW w:w="4962"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both"/>
            </w:pPr>
            <w:r w:rsidRPr="00A014B9">
              <w:t xml:space="preserve">Disponibilità residua </w:t>
            </w:r>
            <w:proofErr w:type="gramStart"/>
            <w:r w:rsidRPr="00A014B9">
              <w:t>( da</w:t>
            </w:r>
            <w:proofErr w:type="gramEnd"/>
            <w:r w:rsidRPr="00A014B9">
              <w:t xml:space="preserve"> accantonare)</w:t>
            </w:r>
          </w:p>
        </w:tc>
        <w:tc>
          <w:tcPr>
            <w:tcW w:w="2614"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center"/>
            </w:pPr>
            <w:r w:rsidRPr="00A014B9">
              <w:t>503,00</w:t>
            </w:r>
          </w:p>
          <w:p w:rsidR="00E167C3" w:rsidRPr="00A014B9" w:rsidRDefault="00E167C3" w:rsidP="00E167C3">
            <w:pPr>
              <w:jc w:val="center"/>
            </w:pPr>
          </w:p>
        </w:tc>
      </w:tr>
      <w:tr w:rsidR="00E167C3" w:rsidRPr="00A014B9" w:rsidTr="00F0605C">
        <w:tc>
          <w:tcPr>
            <w:tcW w:w="4962"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both"/>
            </w:pPr>
            <w:r w:rsidRPr="00A014B9">
              <w:t xml:space="preserve">Utilizzo Fondi attività di istituto </w:t>
            </w:r>
          </w:p>
        </w:tc>
        <w:tc>
          <w:tcPr>
            <w:tcW w:w="2614"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center"/>
            </w:pPr>
            <w:r w:rsidRPr="00A014B9">
              <w:t>1.200,00</w:t>
            </w:r>
          </w:p>
          <w:p w:rsidR="00E167C3" w:rsidRPr="00A014B9" w:rsidRDefault="00E167C3" w:rsidP="00E167C3">
            <w:pPr>
              <w:jc w:val="center"/>
            </w:pPr>
          </w:p>
        </w:tc>
      </w:tr>
      <w:tr w:rsidR="00E167C3" w:rsidRPr="00A014B9" w:rsidTr="00F0605C">
        <w:tc>
          <w:tcPr>
            <w:tcW w:w="4962"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both"/>
            </w:pPr>
            <w:r w:rsidRPr="00A014B9">
              <w:t>Disponibilità totale</w:t>
            </w:r>
          </w:p>
        </w:tc>
        <w:tc>
          <w:tcPr>
            <w:tcW w:w="2614" w:type="dxa"/>
            <w:tcBorders>
              <w:top w:val="single" w:sz="4" w:space="0" w:color="auto"/>
              <w:left w:val="single" w:sz="4" w:space="0" w:color="auto"/>
              <w:bottom w:val="single" w:sz="4" w:space="0" w:color="auto"/>
              <w:right w:val="single" w:sz="4" w:space="0" w:color="auto"/>
            </w:tcBorders>
          </w:tcPr>
          <w:p w:rsidR="00E167C3" w:rsidRPr="00A014B9" w:rsidRDefault="00E167C3" w:rsidP="00E167C3">
            <w:pPr>
              <w:jc w:val="center"/>
            </w:pPr>
            <w:r w:rsidRPr="00A014B9">
              <w:t>1.200,00</w:t>
            </w:r>
          </w:p>
          <w:p w:rsidR="00E167C3" w:rsidRPr="00A014B9" w:rsidRDefault="00E167C3" w:rsidP="00E167C3">
            <w:pPr>
              <w:jc w:val="center"/>
            </w:pPr>
          </w:p>
        </w:tc>
      </w:tr>
    </w:tbl>
    <w:p w:rsidR="00F0605C" w:rsidRPr="00A014B9" w:rsidRDefault="00F0605C" w:rsidP="00F0605C">
      <w:pPr>
        <w:pStyle w:val="Corpodeltesto3"/>
        <w:tabs>
          <w:tab w:val="left" w:pos="708"/>
        </w:tabs>
        <w:rPr>
          <w:szCs w:val="28"/>
        </w:rPr>
      </w:pPr>
    </w:p>
    <w:p w:rsidR="00F0605C" w:rsidRPr="00A014B9" w:rsidRDefault="00F0605C" w:rsidP="00F0605C">
      <w:pPr>
        <w:pStyle w:val="Corpodeltesto3"/>
        <w:tabs>
          <w:tab w:val="left" w:pos="708"/>
        </w:tabs>
        <w:rPr>
          <w:szCs w:val="28"/>
        </w:rPr>
      </w:pPr>
    </w:p>
    <w:p w:rsidR="00F0605C" w:rsidRPr="00A014B9" w:rsidRDefault="00F0605C" w:rsidP="00F0605C">
      <w:pPr>
        <w:pStyle w:val="Corpodeltesto3"/>
        <w:tabs>
          <w:tab w:val="left" w:pos="708"/>
        </w:tabs>
        <w:rPr>
          <w:szCs w:val="28"/>
        </w:rPr>
      </w:pPr>
    </w:p>
    <w:p w:rsidR="00F0605C" w:rsidRPr="00A014B9" w:rsidRDefault="00740489" w:rsidP="00F0605C">
      <w:pPr>
        <w:pStyle w:val="Corpodeltesto3"/>
        <w:tabs>
          <w:tab w:val="left" w:pos="708"/>
        </w:tabs>
        <w:rPr>
          <w:szCs w:val="28"/>
        </w:rPr>
      </w:pPr>
      <w:r w:rsidRPr="00A014B9">
        <w:rPr>
          <w:szCs w:val="28"/>
        </w:rPr>
        <w:t xml:space="preserve"> </w:t>
      </w:r>
    </w:p>
    <w:p w:rsidR="00210FCB" w:rsidRPr="00A014B9" w:rsidRDefault="00210FCB" w:rsidP="00DC7F53">
      <w:pPr>
        <w:spacing w:line="360" w:lineRule="auto"/>
        <w:jc w:val="both"/>
        <w:rPr>
          <w:bCs/>
        </w:rPr>
      </w:pPr>
    </w:p>
    <w:p w:rsidR="0069151A" w:rsidRPr="00A014B9" w:rsidRDefault="0069151A" w:rsidP="00DC7F53">
      <w:pPr>
        <w:spacing w:line="360" w:lineRule="auto"/>
        <w:jc w:val="both"/>
        <w:rPr>
          <w:bCs/>
        </w:rPr>
      </w:pPr>
    </w:p>
    <w:sectPr w:rsidR="0069151A" w:rsidRPr="00A014B9" w:rsidSect="009C0FBC">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5A2" w:rsidRDefault="005B15A2" w:rsidP="00A968B6">
      <w:r>
        <w:separator/>
      </w:r>
    </w:p>
  </w:endnote>
  <w:endnote w:type="continuationSeparator" w:id="0">
    <w:p w:rsidR="005B15A2" w:rsidRDefault="005B15A2" w:rsidP="00A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A2" w:rsidRDefault="005B15A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15A2" w:rsidRDefault="005B15A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5028"/>
      <w:docPartObj>
        <w:docPartGallery w:val="Page Numbers (Bottom of Page)"/>
        <w:docPartUnique/>
      </w:docPartObj>
    </w:sdtPr>
    <w:sdtEndPr/>
    <w:sdtContent>
      <w:p w:rsidR="005B15A2" w:rsidRDefault="005B15A2">
        <w:pPr>
          <w:pStyle w:val="Pidipagina"/>
          <w:jc w:val="right"/>
        </w:pPr>
        <w:r>
          <w:fldChar w:fldCharType="begin"/>
        </w:r>
        <w:r>
          <w:instrText xml:space="preserve"> PAGE   \* MERGEFORMAT </w:instrText>
        </w:r>
        <w:r>
          <w:fldChar w:fldCharType="separate"/>
        </w:r>
        <w:r w:rsidR="00F82F14">
          <w:rPr>
            <w:noProof/>
          </w:rPr>
          <w:t>11</w:t>
        </w:r>
        <w:r>
          <w:rPr>
            <w:noProof/>
          </w:rPr>
          <w:fldChar w:fldCharType="end"/>
        </w:r>
      </w:p>
    </w:sdtContent>
  </w:sdt>
  <w:p w:rsidR="005B15A2" w:rsidRDefault="005B15A2">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0257"/>
      <w:docPartObj>
        <w:docPartGallery w:val="Page Numbers (Bottom of Page)"/>
        <w:docPartUnique/>
      </w:docPartObj>
    </w:sdtPr>
    <w:sdtEndPr/>
    <w:sdtContent>
      <w:p w:rsidR="005B15A2" w:rsidRDefault="005B15A2">
        <w:pPr>
          <w:pStyle w:val="Pidipagina"/>
          <w:jc w:val="right"/>
        </w:pPr>
        <w:r>
          <w:fldChar w:fldCharType="begin"/>
        </w:r>
        <w:r>
          <w:instrText xml:space="preserve"> PAGE   \* MERGEFORMAT </w:instrText>
        </w:r>
        <w:r>
          <w:fldChar w:fldCharType="separate"/>
        </w:r>
        <w:r w:rsidR="00F82F14">
          <w:rPr>
            <w:noProof/>
          </w:rPr>
          <w:t>1</w:t>
        </w:r>
        <w:r>
          <w:rPr>
            <w:noProof/>
          </w:rPr>
          <w:fldChar w:fldCharType="end"/>
        </w:r>
      </w:p>
    </w:sdtContent>
  </w:sdt>
  <w:p w:rsidR="005B15A2" w:rsidRDefault="005B15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5A2" w:rsidRDefault="005B15A2" w:rsidP="00A968B6">
      <w:r>
        <w:separator/>
      </w:r>
    </w:p>
  </w:footnote>
  <w:footnote w:type="continuationSeparator" w:id="0">
    <w:p w:rsidR="005B15A2" w:rsidRDefault="005B15A2" w:rsidP="00A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A2" w:rsidRDefault="005B15A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15A2" w:rsidRDefault="005B15A2">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A2" w:rsidRDefault="005B15A2">
    <w:pPr>
      <w:pStyle w:val="Intestazione"/>
      <w:framePr w:wrap="around" w:vAnchor="text" w:hAnchor="margin" w:xAlign="right" w:y="1"/>
      <w:rPr>
        <w:rStyle w:val="Numeropagina"/>
      </w:rPr>
    </w:pPr>
  </w:p>
  <w:p w:rsidR="005B15A2" w:rsidRDefault="005B15A2">
    <w:pPr>
      <w:pStyle w:val="Intestazione"/>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A2" w:rsidRDefault="005B15A2">
    <w:pPr>
      <w:pStyle w:val="Intestazion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E00"/>
    <w:multiLevelType w:val="hybridMultilevel"/>
    <w:tmpl w:val="2C62072C"/>
    <w:lvl w:ilvl="0" w:tplc="096CDEE2">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2E8391C"/>
    <w:multiLevelType w:val="multilevel"/>
    <w:tmpl w:val="2FA4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E2C68"/>
    <w:multiLevelType w:val="hybridMultilevel"/>
    <w:tmpl w:val="AFA62412"/>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D4702C"/>
    <w:multiLevelType w:val="hybridMultilevel"/>
    <w:tmpl w:val="14AECD7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F228FC"/>
    <w:multiLevelType w:val="hybridMultilevel"/>
    <w:tmpl w:val="0C9C117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D53E78"/>
    <w:multiLevelType w:val="hybridMultilevel"/>
    <w:tmpl w:val="900EFEF0"/>
    <w:lvl w:ilvl="0" w:tplc="AD8EB962">
      <w:start w:val="1"/>
      <w:numFmt w:val="bullet"/>
      <w:lvlText w:val="-"/>
      <w:lvlJc w:val="left"/>
      <w:pPr>
        <w:ind w:left="720" w:hanging="360"/>
      </w:pPr>
      <w:rPr>
        <w:rFonts w:ascii="Verdana" w:hAnsi="Verdana" w:cs="Times New Roman" w:hint="default"/>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1415309F"/>
    <w:multiLevelType w:val="hybridMultilevel"/>
    <w:tmpl w:val="F11EA098"/>
    <w:lvl w:ilvl="0" w:tplc="6ABE564C">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75728"/>
    <w:multiLevelType w:val="hybridMultilevel"/>
    <w:tmpl w:val="F3DCC744"/>
    <w:lvl w:ilvl="0" w:tplc="F6AEFE9A">
      <w:start w:val="1"/>
      <w:numFmt w:val="lowerLetter"/>
      <w:lvlText w:val="%1)"/>
      <w:lvlJc w:val="left"/>
      <w:pPr>
        <w:ind w:left="720" w:hanging="360"/>
      </w:pPr>
      <w:rPr>
        <w:rFonts w:ascii="Calibri" w:hAnsi="Calibri" w:hint="default"/>
        <w:i w:val="0"/>
        <w:iCs/>
        <w:snapToGrid/>
        <w:spacing w:val="-2"/>
        <w:w w:val="110"/>
        <w:sz w:val="20"/>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E32A4E"/>
    <w:multiLevelType w:val="hybridMultilevel"/>
    <w:tmpl w:val="36E8F51E"/>
    <w:lvl w:ilvl="0" w:tplc="6ABE564C">
      <w:start w:val="16"/>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A3007E5"/>
    <w:multiLevelType w:val="hybridMultilevel"/>
    <w:tmpl w:val="03D0AEF2"/>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B8565C"/>
    <w:multiLevelType w:val="hybridMultilevel"/>
    <w:tmpl w:val="AA1C64CE"/>
    <w:lvl w:ilvl="0" w:tplc="AD8EB962">
      <w:start w:val="1"/>
      <w:numFmt w:val="bullet"/>
      <w:lvlText w:val="-"/>
      <w:lvlJc w:val="left"/>
      <w:pPr>
        <w:tabs>
          <w:tab w:val="num" w:pos="1260"/>
        </w:tabs>
        <w:ind w:left="1260" w:hanging="360"/>
      </w:pPr>
      <w:rPr>
        <w:rFonts w:ascii="Verdana" w:hAnsi="Verdana" w:cs="Times New Roman" w:hint="default"/>
        <w:b w:val="0"/>
        <w:i w:val="0"/>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3B1D7E4A"/>
    <w:multiLevelType w:val="hybridMultilevel"/>
    <w:tmpl w:val="72A0F368"/>
    <w:lvl w:ilvl="0" w:tplc="AD8EB962">
      <w:start w:val="1"/>
      <w:numFmt w:val="bullet"/>
      <w:lvlText w:val="-"/>
      <w:lvlJc w:val="left"/>
      <w:pPr>
        <w:ind w:left="720" w:hanging="360"/>
      </w:pPr>
      <w:rPr>
        <w:rFonts w:ascii="Verdana" w:hAnsi="Verdana" w:cs="Times New Roman"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3D466CC0"/>
    <w:multiLevelType w:val="hybridMultilevel"/>
    <w:tmpl w:val="AD7CFCD0"/>
    <w:lvl w:ilvl="0" w:tplc="AD8EB962">
      <w:start w:val="1"/>
      <w:numFmt w:val="bullet"/>
      <w:lvlText w:val="-"/>
      <w:lvlJc w:val="left"/>
      <w:pPr>
        <w:ind w:left="720" w:hanging="360"/>
      </w:pPr>
      <w:rPr>
        <w:rFonts w:ascii="Verdana" w:hAnsi="Verdana" w:cs="Times New Roman"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3D6F0328"/>
    <w:multiLevelType w:val="hybridMultilevel"/>
    <w:tmpl w:val="A6AA6A7A"/>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8B6842"/>
    <w:multiLevelType w:val="hybridMultilevel"/>
    <w:tmpl w:val="F3DCC744"/>
    <w:lvl w:ilvl="0" w:tplc="F6AEFE9A">
      <w:start w:val="1"/>
      <w:numFmt w:val="lowerLetter"/>
      <w:lvlText w:val="%1)"/>
      <w:lvlJc w:val="left"/>
      <w:pPr>
        <w:ind w:left="720" w:hanging="360"/>
      </w:pPr>
      <w:rPr>
        <w:rFonts w:ascii="Calibri" w:hAnsi="Calibri" w:hint="default"/>
        <w:i w:val="0"/>
        <w:iCs/>
        <w:snapToGrid/>
        <w:spacing w:val="-2"/>
        <w:w w:val="110"/>
        <w:sz w:val="20"/>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391D6B"/>
    <w:multiLevelType w:val="hybridMultilevel"/>
    <w:tmpl w:val="A9ACC306"/>
    <w:lvl w:ilvl="0" w:tplc="B0E60B00">
      <w:start w:val="1"/>
      <w:numFmt w:val="decimal"/>
      <w:lvlText w:val="%1."/>
      <w:lvlJc w:val="left"/>
      <w:pPr>
        <w:ind w:left="720" w:hanging="360"/>
      </w:pPr>
      <w:rPr>
        <w:rFonts w:ascii="Times New Roman" w:hAnsi="Times New Roman" w:hint="default"/>
        <w:b w:val="0"/>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6586BAA"/>
    <w:multiLevelType w:val="hybridMultilevel"/>
    <w:tmpl w:val="FAFC5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701B80"/>
    <w:multiLevelType w:val="hybridMultilevel"/>
    <w:tmpl w:val="500EB644"/>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5B5E77"/>
    <w:multiLevelType w:val="hybridMultilevel"/>
    <w:tmpl w:val="9ADC7DB4"/>
    <w:lvl w:ilvl="0" w:tplc="AD8EB962">
      <w:start w:val="1"/>
      <w:numFmt w:val="bullet"/>
      <w:lvlText w:val="-"/>
      <w:lvlJc w:val="left"/>
      <w:pPr>
        <w:ind w:left="720" w:hanging="360"/>
      </w:pPr>
      <w:rPr>
        <w:rFonts w:ascii="Verdana" w:hAnsi="Verdana"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5B7FBA"/>
    <w:multiLevelType w:val="hybridMultilevel"/>
    <w:tmpl w:val="AFF0FE78"/>
    <w:lvl w:ilvl="0" w:tplc="7762725A">
      <w:numFmt w:val="bullet"/>
      <w:lvlText w:val="-"/>
      <w:lvlJc w:val="left"/>
      <w:pPr>
        <w:tabs>
          <w:tab w:val="num" w:pos="1260"/>
        </w:tabs>
        <w:ind w:left="1260" w:hanging="360"/>
      </w:pPr>
      <w:rPr>
        <w:rFonts w:ascii="Times New Roman" w:hAnsi="Times New Roman" w:cs="Times New Roman"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68567220"/>
    <w:multiLevelType w:val="hybridMultilevel"/>
    <w:tmpl w:val="4510E60C"/>
    <w:lvl w:ilvl="0" w:tplc="7A5ED704">
      <w:start w:val="1"/>
      <w:numFmt w:val="decimal"/>
      <w:lvlText w:val="%1)"/>
      <w:lvlJc w:val="left"/>
      <w:pPr>
        <w:ind w:left="720" w:hanging="360"/>
      </w:pPr>
      <w:rPr>
        <w:rFonts w:ascii="Garamond" w:hAnsi="Garamond" w:cs="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8537BC"/>
    <w:multiLevelType w:val="hybridMultilevel"/>
    <w:tmpl w:val="AE649DC0"/>
    <w:lvl w:ilvl="0" w:tplc="AB2A16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CA6589"/>
    <w:multiLevelType w:val="hybridMultilevel"/>
    <w:tmpl w:val="143814B8"/>
    <w:lvl w:ilvl="0" w:tplc="096CDEE2">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775B2FB1"/>
    <w:multiLevelType w:val="hybridMultilevel"/>
    <w:tmpl w:val="3D180FB8"/>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3"/>
  </w:num>
  <w:num w:numId="7">
    <w:abstractNumId w:val="14"/>
  </w:num>
  <w:num w:numId="8">
    <w:abstractNumId w:val="2"/>
  </w:num>
  <w:num w:numId="9">
    <w:abstractNumId w:val="4"/>
  </w:num>
  <w:num w:numId="10">
    <w:abstractNumId w:val="9"/>
  </w:num>
  <w:num w:numId="11">
    <w:abstractNumId w:val="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7"/>
  </w:num>
  <w:num w:numId="18">
    <w:abstractNumId w:val="19"/>
  </w:num>
  <w:num w:numId="19">
    <w:abstractNumId w:val="10"/>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6"/>
  </w:num>
  <w:num w:numId="26">
    <w:abstractNumId w:val="23"/>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00"/>
    <w:rsid w:val="00001BBA"/>
    <w:rsid w:val="000041C5"/>
    <w:rsid w:val="00004FA8"/>
    <w:rsid w:val="00007700"/>
    <w:rsid w:val="00010702"/>
    <w:rsid w:val="00011C18"/>
    <w:rsid w:val="00023434"/>
    <w:rsid w:val="00032899"/>
    <w:rsid w:val="00036830"/>
    <w:rsid w:val="0003696F"/>
    <w:rsid w:val="00036F85"/>
    <w:rsid w:val="00044965"/>
    <w:rsid w:val="00050877"/>
    <w:rsid w:val="000558E9"/>
    <w:rsid w:val="00060265"/>
    <w:rsid w:val="000674B2"/>
    <w:rsid w:val="0007248C"/>
    <w:rsid w:val="0007340F"/>
    <w:rsid w:val="00073432"/>
    <w:rsid w:val="00075B17"/>
    <w:rsid w:val="000837EB"/>
    <w:rsid w:val="00087013"/>
    <w:rsid w:val="00087C27"/>
    <w:rsid w:val="00095E02"/>
    <w:rsid w:val="00097FD7"/>
    <w:rsid w:val="000A33F5"/>
    <w:rsid w:val="000B1D27"/>
    <w:rsid w:val="000B40DA"/>
    <w:rsid w:val="000C3321"/>
    <w:rsid w:val="000C4DB6"/>
    <w:rsid w:val="000C68F6"/>
    <w:rsid w:val="000C78A1"/>
    <w:rsid w:val="000D0984"/>
    <w:rsid w:val="000D4213"/>
    <w:rsid w:val="000E2C18"/>
    <w:rsid w:val="000E6041"/>
    <w:rsid w:val="000E618E"/>
    <w:rsid w:val="00100E39"/>
    <w:rsid w:val="00101A5F"/>
    <w:rsid w:val="001052CD"/>
    <w:rsid w:val="00114BCA"/>
    <w:rsid w:val="00123ECC"/>
    <w:rsid w:val="0012441F"/>
    <w:rsid w:val="00126D6C"/>
    <w:rsid w:val="001270CC"/>
    <w:rsid w:val="0013155F"/>
    <w:rsid w:val="00131B19"/>
    <w:rsid w:val="00133182"/>
    <w:rsid w:val="00136681"/>
    <w:rsid w:val="00141038"/>
    <w:rsid w:val="00161503"/>
    <w:rsid w:val="0016228B"/>
    <w:rsid w:val="00162CD9"/>
    <w:rsid w:val="001631F3"/>
    <w:rsid w:val="00165BE9"/>
    <w:rsid w:val="0016759F"/>
    <w:rsid w:val="00175E52"/>
    <w:rsid w:val="0017705A"/>
    <w:rsid w:val="00181463"/>
    <w:rsid w:val="001816DF"/>
    <w:rsid w:val="001A1282"/>
    <w:rsid w:val="001A7940"/>
    <w:rsid w:val="001B0525"/>
    <w:rsid w:val="001B227D"/>
    <w:rsid w:val="001B6B44"/>
    <w:rsid w:val="001B78B6"/>
    <w:rsid w:val="001C1C6E"/>
    <w:rsid w:val="001E1120"/>
    <w:rsid w:val="001E1EFD"/>
    <w:rsid w:val="001E2BE8"/>
    <w:rsid w:val="001F092E"/>
    <w:rsid w:val="00205AB6"/>
    <w:rsid w:val="002070E0"/>
    <w:rsid w:val="00207229"/>
    <w:rsid w:val="00207A40"/>
    <w:rsid w:val="00210FCB"/>
    <w:rsid w:val="00215C7D"/>
    <w:rsid w:val="00226CCB"/>
    <w:rsid w:val="00230D49"/>
    <w:rsid w:val="00235229"/>
    <w:rsid w:val="00237354"/>
    <w:rsid w:val="002374F4"/>
    <w:rsid w:val="00272DB5"/>
    <w:rsid w:val="0027498C"/>
    <w:rsid w:val="00277502"/>
    <w:rsid w:val="002809B6"/>
    <w:rsid w:val="00287153"/>
    <w:rsid w:val="0029308E"/>
    <w:rsid w:val="002A4FBD"/>
    <w:rsid w:val="002B0EE8"/>
    <w:rsid w:val="002C146E"/>
    <w:rsid w:val="002C3096"/>
    <w:rsid w:val="002E08D8"/>
    <w:rsid w:val="002E0A45"/>
    <w:rsid w:val="002E0BDA"/>
    <w:rsid w:val="002F59CC"/>
    <w:rsid w:val="002F5A03"/>
    <w:rsid w:val="00311C31"/>
    <w:rsid w:val="0031257A"/>
    <w:rsid w:val="003131C2"/>
    <w:rsid w:val="00315917"/>
    <w:rsid w:val="00321927"/>
    <w:rsid w:val="00321B06"/>
    <w:rsid w:val="00322B8E"/>
    <w:rsid w:val="00324F79"/>
    <w:rsid w:val="003308BB"/>
    <w:rsid w:val="00330E89"/>
    <w:rsid w:val="00331621"/>
    <w:rsid w:val="003347B8"/>
    <w:rsid w:val="00343641"/>
    <w:rsid w:val="00350F72"/>
    <w:rsid w:val="00352A8B"/>
    <w:rsid w:val="00353AAF"/>
    <w:rsid w:val="003546D3"/>
    <w:rsid w:val="00357187"/>
    <w:rsid w:val="00361053"/>
    <w:rsid w:val="003627EB"/>
    <w:rsid w:val="003646EE"/>
    <w:rsid w:val="00366EA0"/>
    <w:rsid w:val="003709F8"/>
    <w:rsid w:val="00371A24"/>
    <w:rsid w:val="00371BC9"/>
    <w:rsid w:val="0038384B"/>
    <w:rsid w:val="003A5CD0"/>
    <w:rsid w:val="003B6DB9"/>
    <w:rsid w:val="003C12E1"/>
    <w:rsid w:val="003C4C9E"/>
    <w:rsid w:val="003C6200"/>
    <w:rsid w:val="003D546A"/>
    <w:rsid w:val="003D582D"/>
    <w:rsid w:val="003D7A12"/>
    <w:rsid w:val="003E4921"/>
    <w:rsid w:val="003F7BDE"/>
    <w:rsid w:val="00400815"/>
    <w:rsid w:val="004009FF"/>
    <w:rsid w:val="00403139"/>
    <w:rsid w:val="0040745E"/>
    <w:rsid w:val="00425FA0"/>
    <w:rsid w:val="00431825"/>
    <w:rsid w:val="004319E7"/>
    <w:rsid w:val="00431E9A"/>
    <w:rsid w:val="004353AA"/>
    <w:rsid w:val="0044304C"/>
    <w:rsid w:val="004542AD"/>
    <w:rsid w:val="00455EAE"/>
    <w:rsid w:val="00462716"/>
    <w:rsid w:val="00474425"/>
    <w:rsid w:val="0048661F"/>
    <w:rsid w:val="004A2B52"/>
    <w:rsid w:val="004A4D2B"/>
    <w:rsid w:val="004B03BE"/>
    <w:rsid w:val="004B2088"/>
    <w:rsid w:val="004C3679"/>
    <w:rsid w:val="004C6FFE"/>
    <w:rsid w:val="004D2D0B"/>
    <w:rsid w:val="004D2D56"/>
    <w:rsid w:val="004D761E"/>
    <w:rsid w:val="004E1BCE"/>
    <w:rsid w:val="004F10B4"/>
    <w:rsid w:val="00501660"/>
    <w:rsid w:val="005302E6"/>
    <w:rsid w:val="00536DAD"/>
    <w:rsid w:val="005378C0"/>
    <w:rsid w:val="00541C25"/>
    <w:rsid w:val="00565EBD"/>
    <w:rsid w:val="00566900"/>
    <w:rsid w:val="00570E99"/>
    <w:rsid w:val="00574999"/>
    <w:rsid w:val="00575B9D"/>
    <w:rsid w:val="00581C1A"/>
    <w:rsid w:val="00584790"/>
    <w:rsid w:val="005A217E"/>
    <w:rsid w:val="005A387E"/>
    <w:rsid w:val="005A4ED3"/>
    <w:rsid w:val="005B057B"/>
    <w:rsid w:val="005B15A2"/>
    <w:rsid w:val="005C0C8D"/>
    <w:rsid w:val="005D63D9"/>
    <w:rsid w:val="005E0578"/>
    <w:rsid w:val="005E4738"/>
    <w:rsid w:val="005F2A3A"/>
    <w:rsid w:val="005F3652"/>
    <w:rsid w:val="00600255"/>
    <w:rsid w:val="00600A68"/>
    <w:rsid w:val="006026AE"/>
    <w:rsid w:val="00610F92"/>
    <w:rsid w:val="00612F51"/>
    <w:rsid w:val="006145D8"/>
    <w:rsid w:val="00634957"/>
    <w:rsid w:val="006443E1"/>
    <w:rsid w:val="00647EEA"/>
    <w:rsid w:val="00654FDF"/>
    <w:rsid w:val="0065627A"/>
    <w:rsid w:val="00657B99"/>
    <w:rsid w:val="006602EC"/>
    <w:rsid w:val="00660BDC"/>
    <w:rsid w:val="00663E7E"/>
    <w:rsid w:val="00667AE2"/>
    <w:rsid w:val="006729BC"/>
    <w:rsid w:val="006740F3"/>
    <w:rsid w:val="00676127"/>
    <w:rsid w:val="00680E9F"/>
    <w:rsid w:val="00685455"/>
    <w:rsid w:val="00690BA9"/>
    <w:rsid w:val="0069151A"/>
    <w:rsid w:val="006B35C6"/>
    <w:rsid w:val="006B4491"/>
    <w:rsid w:val="006D222A"/>
    <w:rsid w:val="006D25C4"/>
    <w:rsid w:val="006D30AE"/>
    <w:rsid w:val="006D5649"/>
    <w:rsid w:val="006D5D54"/>
    <w:rsid w:val="006F1718"/>
    <w:rsid w:val="00701B16"/>
    <w:rsid w:val="00703E3D"/>
    <w:rsid w:val="007116FE"/>
    <w:rsid w:val="00715DD7"/>
    <w:rsid w:val="00724406"/>
    <w:rsid w:val="007253B2"/>
    <w:rsid w:val="007259A5"/>
    <w:rsid w:val="00727E94"/>
    <w:rsid w:val="00740489"/>
    <w:rsid w:val="00747447"/>
    <w:rsid w:val="00753453"/>
    <w:rsid w:val="00762A03"/>
    <w:rsid w:val="00764BD3"/>
    <w:rsid w:val="00772CA5"/>
    <w:rsid w:val="00772EA9"/>
    <w:rsid w:val="007771B9"/>
    <w:rsid w:val="00783157"/>
    <w:rsid w:val="0079514C"/>
    <w:rsid w:val="007A5DBA"/>
    <w:rsid w:val="007A6179"/>
    <w:rsid w:val="007A6290"/>
    <w:rsid w:val="007B058F"/>
    <w:rsid w:val="007C0C8B"/>
    <w:rsid w:val="007C2015"/>
    <w:rsid w:val="007C2A22"/>
    <w:rsid w:val="007C6422"/>
    <w:rsid w:val="007D0B00"/>
    <w:rsid w:val="007D4339"/>
    <w:rsid w:val="007D663F"/>
    <w:rsid w:val="007D735E"/>
    <w:rsid w:val="007E4919"/>
    <w:rsid w:val="007E7DA4"/>
    <w:rsid w:val="007F58D5"/>
    <w:rsid w:val="007F6B2D"/>
    <w:rsid w:val="007F7B27"/>
    <w:rsid w:val="00812D72"/>
    <w:rsid w:val="00822035"/>
    <w:rsid w:val="00825474"/>
    <w:rsid w:val="00825D90"/>
    <w:rsid w:val="008422D6"/>
    <w:rsid w:val="00854AAF"/>
    <w:rsid w:val="00854BE6"/>
    <w:rsid w:val="00863D98"/>
    <w:rsid w:val="0087119E"/>
    <w:rsid w:val="008718AE"/>
    <w:rsid w:val="00872EEC"/>
    <w:rsid w:val="008739F2"/>
    <w:rsid w:val="00877F84"/>
    <w:rsid w:val="00885067"/>
    <w:rsid w:val="008861F1"/>
    <w:rsid w:val="0088750D"/>
    <w:rsid w:val="00890810"/>
    <w:rsid w:val="00892165"/>
    <w:rsid w:val="0089340C"/>
    <w:rsid w:val="00894C78"/>
    <w:rsid w:val="008A0BFF"/>
    <w:rsid w:val="008A53F8"/>
    <w:rsid w:val="008B5EA6"/>
    <w:rsid w:val="008B63BB"/>
    <w:rsid w:val="008B7E20"/>
    <w:rsid w:val="008C7DE1"/>
    <w:rsid w:val="008D17F1"/>
    <w:rsid w:val="008D39A5"/>
    <w:rsid w:val="008D6CB2"/>
    <w:rsid w:val="008E2DA8"/>
    <w:rsid w:val="008E3890"/>
    <w:rsid w:val="008E64CC"/>
    <w:rsid w:val="008F2B1B"/>
    <w:rsid w:val="008F6E86"/>
    <w:rsid w:val="008F7E4B"/>
    <w:rsid w:val="0090322D"/>
    <w:rsid w:val="009041D6"/>
    <w:rsid w:val="00910D6A"/>
    <w:rsid w:val="009179DC"/>
    <w:rsid w:val="00920538"/>
    <w:rsid w:val="00921D47"/>
    <w:rsid w:val="009230E5"/>
    <w:rsid w:val="00927D69"/>
    <w:rsid w:val="00936521"/>
    <w:rsid w:val="00937275"/>
    <w:rsid w:val="0094073E"/>
    <w:rsid w:val="0094220B"/>
    <w:rsid w:val="009426E3"/>
    <w:rsid w:val="00953490"/>
    <w:rsid w:val="00953ED9"/>
    <w:rsid w:val="009547DD"/>
    <w:rsid w:val="0095716F"/>
    <w:rsid w:val="00966B5B"/>
    <w:rsid w:val="00967131"/>
    <w:rsid w:val="0096730A"/>
    <w:rsid w:val="00967679"/>
    <w:rsid w:val="009738C0"/>
    <w:rsid w:val="0099329C"/>
    <w:rsid w:val="009A292C"/>
    <w:rsid w:val="009B6BCC"/>
    <w:rsid w:val="009C0FBC"/>
    <w:rsid w:val="009C4BF7"/>
    <w:rsid w:val="009D30DE"/>
    <w:rsid w:val="009E3180"/>
    <w:rsid w:val="009E747E"/>
    <w:rsid w:val="009F50C5"/>
    <w:rsid w:val="009F6115"/>
    <w:rsid w:val="00A014B9"/>
    <w:rsid w:val="00A025EA"/>
    <w:rsid w:val="00A056F7"/>
    <w:rsid w:val="00A12F6F"/>
    <w:rsid w:val="00A23982"/>
    <w:rsid w:val="00A309F2"/>
    <w:rsid w:val="00A30C10"/>
    <w:rsid w:val="00A36D79"/>
    <w:rsid w:val="00A504A0"/>
    <w:rsid w:val="00A51E52"/>
    <w:rsid w:val="00A529B9"/>
    <w:rsid w:val="00A52DF4"/>
    <w:rsid w:val="00A55DAE"/>
    <w:rsid w:val="00A569DA"/>
    <w:rsid w:val="00A648FF"/>
    <w:rsid w:val="00A6720B"/>
    <w:rsid w:val="00A740BE"/>
    <w:rsid w:val="00A74F3F"/>
    <w:rsid w:val="00A86278"/>
    <w:rsid w:val="00A94705"/>
    <w:rsid w:val="00A965C0"/>
    <w:rsid w:val="00A9671C"/>
    <w:rsid w:val="00A968B6"/>
    <w:rsid w:val="00A969E3"/>
    <w:rsid w:val="00AA20F7"/>
    <w:rsid w:val="00AC05EA"/>
    <w:rsid w:val="00AD2F67"/>
    <w:rsid w:val="00AD3F0E"/>
    <w:rsid w:val="00AE5EE8"/>
    <w:rsid w:val="00AF6A24"/>
    <w:rsid w:val="00B01EEA"/>
    <w:rsid w:val="00B03022"/>
    <w:rsid w:val="00B16852"/>
    <w:rsid w:val="00B17DAA"/>
    <w:rsid w:val="00B2410B"/>
    <w:rsid w:val="00B27819"/>
    <w:rsid w:val="00B30127"/>
    <w:rsid w:val="00B46B39"/>
    <w:rsid w:val="00B50717"/>
    <w:rsid w:val="00B60230"/>
    <w:rsid w:val="00B62469"/>
    <w:rsid w:val="00B67333"/>
    <w:rsid w:val="00B7050A"/>
    <w:rsid w:val="00B73771"/>
    <w:rsid w:val="00B73B80"/>
    <w:rsid w:val="00B74D34"/>
    <w:rsid w:val="00B756F5"/>
    <w:rsid w:val="00B80257"/>
    <w:rsid w:val="00B84A9C"/>
    <w:rsid w:val="00B87E22"/>
    <w:rsid w:val="00B91220"/>
    <w:rsid w:val="00B92243"/>
    <w:rsid w:val="00BA46A8"/>
    <w:rsid w:val="00BC296E"/>
    <w:rsid w:val="00BE1E19"/>
    <w:rsid w:val="00BE2AA2"/>
    <w:rsid w:val="00BE6AFD"/>
    <w:rsid w:val="00BE6D70"/>
    <w:rsid w:val="00C000B3"/>
    <w:rsid w:val="00C00CDB"/>
    <w:rsid w:val="00C0369A"/>
    <w:rsid w:val="00C0653B"/>
    <w:rsid w:val="00C11175"/>
    <w:rsid w:val="00C16A74"/>
    <w:rsid w:val="00C267E9"/>
    <w:rsid w:val="00C7094C"/>
    <w:rsid w:val="00C80966"/>
    <w:rsid w:val="00C877F1"/>
    <w:rsid w:val="00C879FD"/>
    <w:rsid w:val="00C91BEE"/>
    <w:rsid w:val="00C95A4D"/>
    <w:rsid w:val="00CA036F"/>
    <w:rsid w:val="00CB088D"/>
    <w:rsid w:val="00CB25E8"/>
    <w:rsid w:val="00CC27F0"/>
    <w:rsid w:val="00CC366B"/>
    <w:rsid w:val="00CD37C5"/>
    <w:rsid w:val="00CD406F"/>
    <w:rsid w:val="00CE7257"/>
    <w:rsid w:val="00CF38B3"/>
    <w:rsid w:val="00CF3CE7"/>
    <w:rsid w:val="00D02CCF"/>
    <w:rsid w:val="00D048D2"/>
    <w:rsid w:val="00D063C8"/>
    <w:rsid w:val="00D07E01"/>
    <w:rsid w:val="00D12D24"/>
    <w:rsid w:val="00D13B16"/>
    <w:rsid w:val="00D1583B"/>
    <w:rsid w:val="00D23622"/>
    <w:rsid w:val="00D237E4"/>
    <w:rsid w:val="00D26A0C"/>
    <w:rsid w:val="00D36BCC"/>
    <w:rsid w:val="00D412D1"/>
    <w:rsid w:val="00D45795"/>
    <w:rsid w:val="00D51956"/>
    <w:rsid w:val="00D523A1"/>
    <w:rsid w:val="00D5294B"/>
    <w:rsid w:val="00D63C6F"/>
    <w:rsid w:val="00D644AF"/>
    <w:rsid w:val="00D66FF6"/>
    <w:rsid w:val="00D72C6E"/>
    <w:rsid w:val="00D749FC"/>
    <w:rsid w:val="00D8171D"/>
    <w:rsid w:val="00D910B5"/>
    <w:rsid w:val="00DA3123"/>
    <w:rsid w:val="00DA5427"/>
    <w:rsid w:val="00DB74FA"/>
    <w:rsid w:val="00DC1AD6"/>
    <w:rsid w:val="00DC60A5"/>
    <w:rsid w:val="00DC7F53"/>
    <w:rsid w:val="00DD4048"/>
    <w:rsid w:val="00DD648F"/>
    <w:rsid w:val="00DD6710"/>
    <w:rsid w:val="00DE52FB"/>
    <w:rsid w:val="00DE54E0"/>
    <w:rsid w:val="00DE6F92"/>
    <w:rsid w:val="00DF2242"/>
    <w:rsid w:val="00DF28C0"/>
    <w:rsid w:val="00E04B31"/>
    <w:rsid w:val="00E072F5"/>
    <w:rsid w:val="00E167C3"/>
    <w:rsid w:val="00E32B58"/>
    <w:rsid w:val="00E36136"/>
    <w:rsid w:val="00E5636F"/>
    <w:rsid w:val="00E57FB5"/>
    <w:rsid w:val="00E7039A"/>
    <w:rsid w:val="00E74626"/>
    <w:rsid w:val="00E85A90"/>
    <w:rsid w:val="00E962A7"/>
    <w:rsid w:val="00E977A6"/>
    <w:rsid w:val="00EA3E87"/>
    <w:rsid w:val="00EA5C5F"/>
    <w:rsid w:val="00EB7706"/>
    <w:rsid w:val="00EB79E5"/>
    <w:rsid w:val="00EC7759"/>
    <w:rsid w:val="00ED6F49"/>
    <w:rsid w:val="00EF34D4"/>
    <w:rsid w:val="00F04BE6"/>
    <w:rsid w:val="00F057CB"/>
    <w:rsid w:val="00F0605C"/>
    <w:rsid w:val="00F154F7"/>
    <w:rsid w:val="00F241A3"/>
    <w:rsid w:val="00F3314C"/>
    <w:rsid w:val="00F44CF5"/>
    <w:rsid w:val="00F44D23"/>
    <w:rsid w:val="00F569D8"/>
    <w:rsid w:val="00F64486"/>
    <w:rsid w:val="00F65AE7"/>
    <w:rsid w:val="00F67CAC"/>
    <w:rsid w:val="00F736AF"/>
    <w:rsid w:val="00F75DC8"/>
    <w:rsid w:val="00F82F14"/>
    <w:rsid w:val="00F830CE"/>
    <w:rsid w:val="00F9440C"/>
    <w:rsid w:val="00FA0DFB"/>
    <w:rsid w:val="00FA2009"/>
    <w:rsid w:val="00FA33A4"/>
    <w:rsid w:val="00FB0277"/>
    <w:rsid w:val="00FC00EE"/>
    <w:rsid w:val="00FC58B9"/>
    <w:rsid w:val="00FD061B"/>
    <w:rsid w:val="00FD6E2B"/>
    <w:rsid w:val="00FD7052"/>
    <w:rsid w:val="00FE100D"/>
    <w:rsid w:val="00FE1138"/>
    <w:rsid w:val="00FE15D0"/>
    <w:rsid w:val="00FE1B8C"/>
    <w:rsid w:val="00FE316F"/>
    <w:rsid w:val="00FE7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E559820"/>
  <w15:docId w15:val="{3F027675-447D-4420-9E2E-37E00BC2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690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66900"/>
    <w:pPr>
      <w:keepNext/>
      <w:ind w:left="360" w:hanging="360"/>
      <w:jc w:val="both"/>
      <w:outlineLvl w:val="0"/>
    </w:pPr>
    <w:rPr>
      <w:bCs/>
      <w:i/>
      <w:iCs/>
    </w:rPr>
  </w:style>
  <w:style w:type="paragraph" w:styleId="Titolo2">
    <w:name w:val="heading 2"/>
    <w:basedOn w:val="Normale"/>
    <w:next w:val="Normale"/>
    <w:link w:val="Titolo2Carattere"/>
    <w:uiPriority w:val="9"/>
    <w:unhideWhenUsed/>
    <w:qFormat/>
    <w:rsid w:val="00703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566900"/>
    <w:pPr>
      <w:keepNext/>
      <w:overflowPunct w:val="0"/>
      <w:autoSpaceDE w:val="0"/>
      <w:autoSpaceDN w:val="0"/>
      <w:adjustRightInd w:val="0"/>
      <w:spacing w:line="360" w:lineRule="auto"/>
      <w:ind w:left="180"/>
      <w:jc w:val="both"/>
      <w:outlineLvl w:val="2"/>
    </w:pPr>
    <w:rPr>
      <w:rFonts w:eastAsia="Arial Unicode MS"/>
      <w:b/>
      <w:bCs/>
    </w:rPr>
  </w:style>
  <w:style w:type="paragraph" w:styleId="Titolo6">
    <w:name w:val="heading 6"/>
    <w:basedOn w:val="Normale"/>
    <w:next w:val="Normale"/>
    <w:link w:val="Titolo6Carattere"/>
    <w:qFormat/>
    <w:rsid w:val="00566900"/>
    <w:pPr>
      <w:keepNext/>
      <w:spacing w:line="360" w:lineRule="auto"/>
      <w:jc w:val="both"/>
      <w:outlineLvl w:val="5"/>
    </w:pPr>
    <w:rPr>
      <w:rFonts w:eastAsia="Arial Unicode MS"/>
      <w:i/>
      <w:iCs/>
      <w:sz w:val="28"/>
      <w:u w:val="single"/>
    </w:rPr>
  </w:style>
  <w:style w:type="paragraph" w:styleId="Titolo8">
    <w:name w:val="heading 8"/>
    <w:basedOn w:val="Normale"/>
    <w:next w:val="Normale"/>
    <w:link w:val="Titolo8Carattere"/>
    <w:uiPriority w:val="9"/>
    <w:semiHidden/>
    <w:unhideWhenUsed/>
    <w:qFormat/>
    <w:rsid w:val="00DC7F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DC7F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6900"/>
    <w:rPr>
      <w:rFonts w:ascii="Times New Roman" w:eastAsia="Times New Roman" w:hAnsi="Times New Roman" w:cs="Times New Roman"/>
      <w:bCs/>
      <w:i/>
      <w:iCs/>
      <w:sz w:val="24"/>
      <w:szCs w:val="24"/>
      <w:lang w:eastAsia="it-IT"/>
    </w:rPr>
  </w:style>
  <w:style w:type="character" w:customStyle="1" w:styleId="Titolo3Carattere">
    <w:name w:val="Titolo 3 Carattere"/>
    <w:basedOn w:val="Carpredefinitoparagrafo"/>
    <w:link w:val="Titolo3"/>
    <w:rsid w:val="00566900"/>
    <w:rPr>
      <w:rFonts w:ascii="Times New Roman" w:eastAsia="Arial Unicode MS" w:hAnsi="Times New Roman" w:cs="Times New Roman"/>
      <w:b/>
      <w:bCs/>
      <w:sz w:val="24"/>
      <w:szCs w:val="24"/>
      <w:lang w:eastAsia="it-IT"/>
    </w:rPr>
  </w:style>
  <w:style w:type="character" w:customStyle="1" w:styleId="Titolo6Carattere">
    <w:name w:val="Titolo 6 Carattere"/>
    <w:basedOn w:val="Carpredefinitoparagrafo"/>
    <w:link w:val="Titolo6"/>
    <w:rsid w:val="00566900"/>
    <w:rPr>
      <w:rFonts w:ascii="Times New Roman" w:eastAsia="Arial Unicode MS" w:hAnsi="Times New Roman" w:cs="Times New Roman"/>
      <w:i/>
      <w:iCs/>
      <w:sz w:val="28"/>
      <w:szCs w:val="24"/>
      <w:u w:val="single"/>
      <w:lang w:eastAsia="it-IT"/>
    </w:rPr>
  </w:style>
  <w:style w:type="paragraph" w:styleId="Rientrocorpodeltesto">
    <w:name w:val="Body Text Indent"/>
    <w:basedOn w:val="Normale"/>
    <w:link w:val="RientrocorpodeltestoCarattere"/>
    <w:rsid w:val="00566900"/>
    <w:pPr>
      <w:widowControl w:val="0"/>
      <w:tabs>
        <w:tab w:val="num"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520" w:lineRule="atLeast"/>
      <w:ind w:left="284" w:hanging="284"/>
      <w:jc w:val="center"/>
    </w:pPr>
    <w:rPr>
      <w:szCs w:val="20"/>
    </w:rPr>
  </w:style>
  <w:style w:type="character" w:customStyle="1" w:styleId="RientrocorpodeltestoCarattere">
    <w:name w:val="Rientro corpo del testo Carattere"/>
    <w:basedOn w:val="Carpredefinitoparagrafo"/>
    <w:link w:val="Rientrocorpodeltesto"/>
    <w:rsid w:val="00566900"/>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566900"/>
    <w:pPr>
      <w:widowControl w:val="0"/>
      <w:spacing w:line="520" w:lineRule="atLeast"/>
      <w:ind w:right="110"/>
      <w:jc w:val="both"/>
    </w:pPr>
    <w:rPr>
      <w:bCs/>
    </w:rPr>
  </w:style>
  <w:style w:type="character" w:customStyle="1" w:styleId="CorpotestoCarattere">
    <w:name w:val="Corpo testo Carattere"/>
    <w:basedOn w:val="Carpredefinitoparagrafo"/>
    <w:link w:val="Corpotesto"/>
    <w:rsid w:val="00566900"/>
    <w:rPr>
      <w:rFonts w:ascii="Times New Roman" w:eastAsia="Times New Roman" w:hAnsi="Times New Roman" w:cs="Times New Roman"/>
      <w:bCs/>
      <w:sz w:val="24"/>
      <w:szCs w:val="24"/>
      <w:lang w:eastAsia="it-IT"/>
    </w:rPr>
  </w:style>
  <w:style w:type="paragraph" w:styleId="Testodelblocco">
    <w:name w:val="Block Text"/>
    <w:basedOn w:val="Normale"/>
    <w:rsid w:val="00566900"/>
    <w:pPr>
      <w:tabs>
        <w:tab w:val="left" w:pos="0"/>
      </w:tabs>
      <w:overflowPunct w:val="0"/>
      <w:autoSpaceDE w:val="0"/>
      <w:autoSpaceDN w:val="0"/>
      <w:adjustRightInd w:val="0"/>
      <w:ind w:left="180" w:right="290"/>
      <w:jc w:val="both"/>
    </w:pPr>
    <w:rPr>
      <w:i/>
      <w:iCs/>
      <w:sz w:val="20"/>
    </w:rPr>
  </w:style>
  <w:style w:type="paragraph" w:customStyle="1" w:styleId="Delibera">
    <w:name w:val="Delibera"/>
    <w:basedOn w:val="Normale"/>
    <w:rsid w:val="00566900"/>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verflowPunct w:val="0"/>
      <w:autoSpaceDE w:val="0"/>
      <w:autoSpaceDN w:val="0"/>
      <w:adjustRightInd w:val="0"/>
      <w:spacing w:line="360" w:lineRule="auto"/>
      <w:jc w:val="both"/>
    </w:pPr>
    <w:rPr>
      <w:szCs w:val="20"/>
    </w:rPr>
  </w:style>
  <w:style w:type="character" w:styleId="Enfasigrassetto">
    <w:name w:val="Strong"/>
    <w:basedOn w:val="Carpredefinitoparagrafo"/>
    <w:uiPriority w:val="22"/>
    <w:qFormat/>
    <w:rsid w:val="00566900"/>
    <w:rPr>
      <w:b/>
      <w:bCs/>
    </w:rPr>
  </w:style>
  <w:style w:type="paragraph" w:styleId="Corpodeltesto2">
    <w:name w:val="Body Text 2"/>
    <w:basedOn w:val="Normale"/>
    <w:link w:val="Corpodeltesto2Carattere"/>
    <w:rsid w:val="00566900"/>
    <w:pPr>
      <w:widowControl w:val="0"/>
      <w:spacing w:line="520" w:lineRule="atLeast"/>
    </w:pPr>
    <w:rPr>
      <w:color w:val="00FF00"/>
    </w:rPr>
  </w:style>
  <w:style w:type="character" w:customStyle="1" w:styleId="Corpodeltesto2Carattere">
    <w:name w:val="Corpo del testo 2 Carattere"/>
    <w:basedOn w:val="Carpredefinitoparagrafo"/>
    <w:link w:val="Corpodeltesto2"/>
    <w:rsid w:val="00566900"/>
    <w:rPr>
      <w:rFonts w:ascii="Times New Roman" w:eastAsia="Times New Roman" w:hAnsi="Times New Roman" w:cs="Times New Roman"/>
      <w:color w:val="00FF00"/>
      <w:sz w:val="24"/>
      <w:szCs w:val="24"/>
      <w:lang w:eastAsia="it-IT"/>
    </w:rPr>
  </w:style>
  <w:style w:type="paragraph" w:styleId="Pidipagina">
    <w:name w:val="footer"/>
    <w:basedOn w:val="Normale"/>
    <w:link w:val="PidipaginaCarattere"/>
    <w:uiPriority w:val="99"/>
    <w:rsid w:val="00566900"/>
    <w:pPr>
      <w:tabs>
        <w:tab w:val="center" w:pos="4819"/>
        <w:tab w:val="right" w:pos="9638"/>
      </w:tabs>
    </w:pPr>
  </w:style>
  <w:style w:type="character" w:customStyle="1" w:styleId="PidipaginaCarattere">
    <w:name w:val="Piè di pagina Carattere"/>
    <w:basedOn w:val="Carpredefinitoparagrafo"/>
    <w:link w:val="Pidipagina"/>
    <w:uiPriority w:val="99"/>
    <w:rsid w:val="00566900"/>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566900"/>
  </w:style>
  <w:style w:type="paragraph" w:styleId="Intestazione">
    <w:name w:val="header"/>
    <w:basedOn w:val="Normale"/>
    <w:link w:val="IntestazioneCarattere"/>
    <w:semiHidden/>
    <w:rsid w:val="00566900"/>
    <w:pPr>
      <w:tabs>
        <w:tab w:val="center" w:pos="4819"/>
        <w:tab w:val="right" w:pos="9638"/>
      </w:tabs>
    </w:pPr>
  </w:style>
  <w:style w:type="character" w:customStyle="1" w:styleId="IntestazioneCarattere">
    <w:name w:val="Intestazione Carattere"/>
    <w:basedOn w:val="Carpredefinitoparagrafo"/>
    <w:link w:val="Intestazione"/>
    <w:semiHidden/>
    <w:rsid w:val="00566900"/>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566900"/>
    <w:pPr>
      <w:spacing w:before="100" w:beforeAutospacing="1" w:after="100" w:afterAutospacing="1"/>
    </w:pPr>
  </w:style>
  <w:style w:type="paragraph" w:customStyle="1" w:styleId="Normale2">
    <w:name w:val="Normale2"/>
    <w:basedOn w:val="Normale"/>
    <w:rsid w:val="00566900"/>
    <w:pPr>
      <w:tabs>
        <w:tab w:val="left" w:pos="284"/>
      </w:tabs>
      <w:overflowPunct w:val="0"/>
      <w:autoSpaceDE w:val="0"/>
      <w:autoSpaceDN w:val="0"/>
      <w:adjustRightInd w:val="0"/>
      <w:jc w:val="both"/>
    </w:pPr>
    <w:rPr>
      <w:rFonts w:ascii="CG Times" w:hAnsi="CG Times"/>
      <w:szCs w:val="20"/>
    </w:rPr>
  </w:style>
  <w:style w:type="character" w:customStyle="1" w:styleId="CharacterStyle1">
    <w:name w:val="Character Style 1"/>
    <w:uiPriority w:val="99"/>
    <w:rsid w:val="00566900"/>
    <w:rPr>
      <w:sz w:val="24"/>
      <w:szCs w:val="24"/>
    </w:rPr>
  </w:style>
  <w:style w:type="paragraph" w:customStyle="1" w:styleId="Style1">
    <w:name w:val="Style 1"/>
    <w:basedOn w:val="Normale"/>
    <w:uiPriority w:val="99"/>
    <w:rsid w:val="00566900"/>
    <w:pPr>
      <w:widowControl w:val="0"/>
      <w:autoSpaceDE w:val="0"/>
      <w:autoSpaceDN w:val="0"/>
      <w:jc w:val="both"/>
    </w:pPr>
    <w:rPr>
      <w:rFonts w:ascii="Tahoma" w:eastAsiaTheme="minorHAnsi" w:hAnsi="Tahoma" w:cs="Tahoma"/>
      <w:lang w:eastAsia="en-US"/>
    </w:rPr>
  </w:style>
  <w:style w:type="paragraph" w:styleId="Nessunaspaziatura">
    <w:name w:val="No Spacing"/>
    <w:uiPriority w:val="1"/>
    <w:qFormat/>
    <w:rsid w:val="0056690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customStyle="1" w:styleId="Corpodeltesto22">
    <w:name w:val="Corpo del testo 22"/>
    <w:basedOn w:val="Normale"/>
    <w:rsid w:val="00EB79E5"/>
    <w:pPr>
      <w:tabs>
        <w:tab w:val="left" w:pos="567"/>
      </w:tabs>
      <w:overflowPunct w:val="0"/>
      <w:autoSpaceDE w:val="0"/>
      <w:autoSpaceDN w:val="0"/>
      <w:adjustRightInd w:val="0"/>
      <w:spacing w:line="360" w:lineRule="auto"/>
      <w:ind w:left="709" w:hanging="709"/>
    </w:pPr>
    <w:rPr>
      <w:rFonts w:ascii="Verdana" w:hAnsi="Verdana"/>
      <w:szCs w:val="20"/>
    </w:rPr>
  </w:style>
  <w:style w:type="paragraph" w:customStyle="1" w:styleId="Verbale">
    <w:name w:val="Verbale"/>
    <w:basedOn w:val="Normale"/>
    <w:uiPriority w:val="99"/>
    <w:rsid w:val="00EA5C5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Pr>
      <w:rFonts w:ascii="Courier New" w:hAnsi="Courier New"/>
      <w:szCs w:val="20"/>
    </w:rPr>
  </w:style>
  <w:style w:type="paragraph" w:customStyle="1" w:styleId="Default">
    <w:name w:val="Default"/>
    <w:rsid w:val="00B756F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772EA9"/>
    <w:pPr>
      <w:ind w:left="720"/>
      <w:contextualSpacing/>
    </w:pPr>
  </w:style>
  <w:style w:type="character" w:customStyle="1" w:styleId="Titolo2Carattere">
    <w:name w:val="Titolo 2 Carattere"/>
    <w:basedOn w:val="Carpredefinitoparagrafo"/>
    <w:link w:val="Titolo2"/>
    <w:uiPriority w:val="9"/>
    <w:rsid w:val="00703E3D"/>
    <w:rPr>
      <w:rFonts w:asciiTheme="majorHAnsi" w:eastAsiaTheme="majorEastAsia" w:hAnsiTheme="majorHAnsi" w:cstheme="majorBidi"/>
      <w:b/>
      <w:bCs/>
      <w:color w:val="4F81BD" w:themeColor="accent1"/>
      <w:sz w:val="26"/>
      <w:szCs w:val="26"/>
      <w:lang w:eastAsia="it-IT"/>
    </w:rPr>
  </w:style>
  <w:style w:type="character" w:customStyle="1" w:styleId="CharacterStyle4">
    <w:name w:val="Character Style 4"/>
    <w:uiPriority w:val="99"/>
    <w:rsid w:val="00C879FD"/>
    <w:rPr>
      <w:sz w:val="20"/>
      <w:szCs w:val="20"/>
    </w:rPr>
  </w:style>
  <w:style w:type="character" w:customStyle="1" w:styleId="Titolo8Carattere">
    <w:name w:val="Titolo 8 Carattere"/>
    <w:basedOn w:val="Carpredefinitoparagrafo"/>
    <w:link w:val="Titolo8"/>
    <w:uiPriority w:val="9"/>
    <w:semiHidden/>
    <w:rsid w:val="00DC7F53"/>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rsid w:val="00DC7F53"/>
    <w:rPr>
      <w:rFonts w:asciiTheme="majorHAnsi" w:eastAsiaTheme="majorEastAsia" w:hAnsiTheme="majorHAnsi" w:cstheme="majorBidi"/>
      <w:i/>
      <w:iCs/>
      <w:color w:val="404040" w:themeColor="text1" w:themeTint="BF"/>
      <w:sz w:val="20"/>
      <w:szCs w:val="20"/>
      <w:lang w:eastAsia="it-IT"/>
    </w:rPr>
  </w:style>
  <w:style w:type="paragraph" w:styleId="Corpodeltesto3">
    <w:name w:val="Body Text 3"/>
    <w:basedOn w:val="Normale"/>
    <w:link w:val="Corpodeltesto3Carattere"/>
    <w:uiPriority w:val="99"/>
    <w:unhideWhenUsed/>
    <w:rsid w:val="00DC7F53"/>
    <w:pPr>
      <w:spacing w:after="120"/>
    </w:pPr>
    <w:rPr>
      <w:sz w:val="16"/>
      <w:szCs w:val="16"/>
    </w:rPr>
  </w:style>
  <w:style w:type="character" w:customStyle="1" w:styleId="Corpodeltesto3Carattere">
    <w:name w:val="Corpo del testo 3 Carattere"/>
    <w:basedOn w:val="Carpredefinitoparagrafo"/>
    <w:link w:val="Corpodeltesto3"/>
    <w:uiPriority w:val="99"/>
    <w:rsid w:val="00DC7F53"/>
    <w:rPr>
      <w:rFonts w:ascii="Times New Roman" w:eastAsia="Times New Roman" w:hAnsi="Times New Roman" w:cs="Times New Roman"/>
      <w:sz w:val="16"/>
      <w:szCs w:val="16"/>
      <w:lang w:eastAsia="it-IT"/>
    </w:rPr>
  </w:style>
  <w:style w:type="character" w:styleId="Enfasicorsivo">
    <w:name w:val="Emphasis"/>
    <w:basedOn w:val="Carpredefinitoparagrafo"/>
    <w:uiPriority w:val="20"/>
    <w:qFormat/>
    <w:rsid w:val="00565EBD"/>
    <w:rPr>
      <w:i/>
      <w:iCs/>
    </w:rPr>
  </w:style>
  <w:style w:type="character" w:styleId="Collegamentoipertestuale">
    <w:name w:val="Hyperlink"/>
    <w:basedOn w:val="Carpredefinitoparagrafo"/>
    <w:uiPriority w:val="99"/>
    <w:semiHidden/>
    <w:unhideWhenUsed/>
    <w:rsid w:val="00B01EEA"/>
    <w:rPr>
      <w:rFonts w:ascii="Arial" w:hAnsi="Arial" w:cs="Arial" w:hint="default"/>
      <w:strike w:val="0"/>
      <w:dstrike w:val="0"/>
      <w:color w:val="00386B"/>
      <w:sz w:val="24"/>
      <w:szCs w:val="24"/>
      <w:u w:val="none"/>
      <w:effect w:val="none"/>
      <w:shd w:val="clear" w:color="auto" w:fill="auto"/>
      <w:vertAlign w:val="baseline"/>
    </w:rPr>
  </w:style>
  <w:style w:type="paragraph" w:styleId="PreformattatoHTML">
    <w:name w:val="HTML Preformatted"/>
    <w:basedOn w:val="Normale"/>
    <w:link w:val="PreformattatoHTMLCarattere"/>
    <w:uiPriority w:val="99"/>
    <w:unhideWhenUsed/>
    <w:rsid w:val="00E3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36136"/>
    <w:rPr>
      <w:rFonts w:ascii="Courier New" w:eastAsia="Times New Roman" w:hAnsi="Courier New" w:cs="Courier New"/>
      <w:sz w:val="20"/>
      <w:szCs w:val="20"/>
      <w:lang w:eastAsia="it-IT"/>
    </w:rPr>
  </w:style>
  <w:style w:type="paragraph" w:customStyle="1" w:styleId="Style2">
    <w:name w:val="Style 2"/>
    <w:basedOn w:val="Normale"/>
    <w:uiPriority w:val="99"/>
    <w:rsid w:val="00783157"/>
    <w:pPr>
      <w:widowControl w:val="0"/>
      <w:autoSpaceDE w:val="0"/>
      <w:autoSpaceDN w:val="0"/>
      <w:spacing w:before="252"/>
      <w:ind w:left="144"/>
    </w:pPr>
    <w:rPr>
      <w:rFonts w:ascii="Tahoma" w:eastAsia="Calibri" w:hAnsi="Tahoma" w:cs="Tahoma"/>
      <w:sz w:val="21"/>
      <w:szCs w:val="21"/>
      <w:lang w:eastAsia="en-US"/>
    </w:rPr>
  </w:style>
  <w:style w:type="paragraph" w:customStyle="1" w:styleId="Style3">
    <w:name w:val="Style 3"/>
    <w:basedOn w:val="Normale"/>
    <w:uiPriority w:val="99"/>
    <w:rsid w:val="00F154F7"/>
    <w:pPr>
      <w:widowControl w:val="0"/>
      <w:autoSpaceDE w:val="0"/>
      <w:autoSpaceDN w:val="0"/>
      <w:ind w:right="72"/>
      <w:jc w:val="both"/>
    </w:pPr>
    <w:rPr>
      <w:rFonts w:eastAsiaTheme="minorHAnsi"/>
      <w:lang w:eastAsia="en-US"/>
    </w:rPr>
  </w:style>
  <w:style w:type="paragraph" w:customStyle="1" w:styleId="xmsonormal">
    <w:name w:val="x_msonormal"/>
    <w:basedOn w:val="Normale"/>
    <w:rsid w:val="003347B8"/>
    <w:pPr>
      <w:spacing w:before="100" w:beforeAutospacing="1" w:after="100" w:afterAutospacing="1"/>
    </w:pPr>
  </w:style>
  <w:style w:type="paragraph" w:customStyle="1" w:styleId="Style7">
    <w:name w:val="Style 7"/>
    <w:basedOn w:val="Normale"/>
    <w:uiPriority w:val="99"/>
    <w:rsid w:val="00DD648F"/>
    <w:pPr>
      <w:autoSpaceDE w:val="0"/>
      <w:autoSpaceDN w:val="0"/>
      <w:adjustRightInd w:val="0"/>
    </w:pPr>
    <w:rPr>
      <w:rFonts w:eastAsiaTheme="minorHAnsi"/>
      <w:sz w:val="20"/>
      <w:szCs w:val="20"/>
      <w:lang w:eastAsia="en-US"/>
    </w:rPr>
  </w:style>
  <w:style w:type="paragraph" w:customStyle="1" w:styleId="Style13">
    <w:name w:val="Style 13"/>
    <w:basedOn w:val="Normale"/>
    <w:uiPriority w:val="99"/>
    <w:rsid w:val="00DD648F"/>
    <w:pPr>
      <w:widowControl w:val="0"/>
      <w:autoSpaceDE w:val="0"/>
      <w:autoSpaceDN w:val="0"/>
      <w:spacing w:before="468" w:line="360" w:lineRule="auto"/>
      <w:jc w:val="both"/>
    </w:pPr>
    <w:rPr>
      <w:rFonts w:ascii="Book Antiqua" w:eastAsiaTheme="minorHAnsi" w:hAnsi="Book Antiqua" w:cs="Book Antiqua"/>
      <w:lang w:eastAsia="en-US"/>
    </w:rPr>
  </w:style>
  <w:style w:type="character" w:customStyle="1" w:styleId="CharacterStyle3">
    <w:name w:val="Character Style 3"/>
    <w:uiPriority w:val="99"/>
    <w:rsid w:val="00DD648F"/>
    <w:rPr>
      <w:rFonts w:ascii="Book Antiqua" w:hAnsi="Book Antiqua" w:cs="Book Antiqua"/>
      <w:sz w:val="24"/>
      <w:szCs w:val="24"/>
    </w:rPr>
  </w:style>
  <w:style w:type="paragraph" w:customStyle="1" w:styleId="Griglia">
    <w:name w:val="Griglia"/>
    <w:basedOn w:val="Normale"/>
    <w:rsid w:val="00B73771"/>
    <w:pPr>
      <w:overflowPunct w:val="0"/>
      <w:autoSpaceDE w:val="0"/>
      <w:autoSpaceDN w:val="0"/>
      <w:adjustRightInd w:val="0"/>
      <w:spacing w:line="480" w:lineRule="auto"/>
    </w:pPr>
    <w:rPr>
      <w:sz w:val="20"/>
      <w:szCs w:val="20"/>
    </w:rPr>
  </w:style>
  <w:style w:type="character" w:customStyle="1" w:styleId="wtoffscreen">
    <w:name w:val="wtoffscreen"/>
    <w:basedOn w:val="Carpredefinitoparagrafo"/>
    <w:rsid w:val="00A30C10"/>
  </w:style>
  <w:style w:type="table" w:customStyle="1" w:styleId="TableGrid">
    <w:name w:val="TableGrid"/>
    <w:rsid w:val="00EA3E87"/>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402">
      <w:bodyDiv w:val="1"/>
      <w:marLeft w:val="0"/>
      <w:marRight w:val="0"/>
      <w:marTop w:val="0"/>
      <w:marBottom w:val="0"/>
      <w:divBdr>
        <w:top w:val="none" w:sz="0" w:space="0" w:color="auto"/>
        <w:left w:val="none" w:sz="0" w:space="0" w:color="auto"/>
        <w:bottom w:val="none" w:sz="0" w:space="0" w:color="auto"/>
        <w:right w:val="none" w:sz="0" w:space="0" w:color="auto"/>
      </w:divBdr>
    </w:div>
    <w:div w:id="245850341">
      <w:bodyDiv w:val="1"/>
      <w:marLeft w:val="0"/>
      <w:marRight w:val="0"/>
      <w:marTop w:val="0"/>
      <w:marBottom w:val="0"/>
      <w:divBdr>
        <w:top w:val="none" w:sz="0" w:space="0" w:color="auto"/>
        <w:left w:val="none" w:sz="0" w:space="0" w:color="auto"/>
        <w:bottom w:val="none" w:sz="0" w:space="0" w:color="auto"/>
        <w:right w:val="none" w:sz="0" w:space="0" w:color="auto"/>
      </w:divBdr>
    </w:div>
    <w:div w:id="264307732">
      <w:bodyDiv w:val="1"/>
      <w:marLeft w:val="0"/>
      <w:marRight w:val="0"/>
      <w:marTop w:val="0"/>
      <w:marBottom w:val="0"/>
      <w:divBdr>
        <w:top w:val="none" w:sz="0" w:space="0" w:color="auto"/>
        <w:left w:val="none" w:sz="0" w:space="0" w:color="auto"/>
        <w:bottom w:val="none" w:sz="0" w:space="0" w:color="auto"/>
        <w:right w:val="none" w:sz="0" w:space="0" w:color="auto"/>
      </w:divBdr>
    </w:div>
    <w:div w:id="408310149">
      <w:bodyDiv w:val="1"/>
      <w:marLeft w:val="0"/>
      <w:marRight w:val="0"/>
      <w:marTop w:val="0"/>
      <w:marBottom w:val="0"/>
      <w:divBdr>
        <w:top w:val="none" w:sz="0" w:space="0" w:color="auto"/>
        <w:left w:val="none" w:sz="0" w:space="0" w:color="auto"/>
        <w:bottom w:val="none" w:sz="0" w:space="0" w:color="auto"/>
        <w:right w:val="none" w:sz="0" w:space="0" w:color="auto"/>
      </w:divBdr>
    </w:div>
    <w:div w:id="428891124">
      <w:bodyDiv w:val="1"/>
      <w:marLeft w:val="0"/>
      <w:marRight w:val="0"/>
      <w:marTop w:val="0"/>
      <w:marBottom w:val="0"/>
      <w:divBdr>
        <w:top w:val="none" w:sz="0" w:space="0" w:color="auto"/>
        <w:left w:val="none" w:sz="0" w:space="0" w:color="auto"/>
        <w:bottom w:val="none" w:sz="0" w:space="0" w:color="auto"/>
        <w:right w:val="none" w:sz="0" w:space="0" w:color="auto"/>
      </w:divBdr>
    </w:div>
    <w:div w:id="491257932">
      <w:bodyDiv w:val="1"/>
      <w:marLeft w:val="0"/>
      <w:marRight w:val="0"/>
      <w:marTop w:val="0"/>
      <w:marBottom w:val="0"/>
      <w:divBdr>
        <w:top w:val="none" w:sz="0" w:space="0" w:color="auto"/>
        <w:left w:val="none" w:sz="0" w:space="0" w:color="auto"/>
        <w:bottom w:val="none" w:sz="0" w:space="0" w:color="auto"/>
        <w:right w:val="none" w:sz="0" w:space="0" w:color="auto"/>
      </w:divBdr>
    </w:div>
    <w:div w:id="542517995">
      <w:bodyDiv w:val="1"/>
      <w:marLeft w:val="0"/>
      <w:marRight w:val="0"/>
      <w:marTop w:val="0"/>
      <w:marBottom w:val="0"/>
      <w:divBdr>
        <w:top w:val="none" w:sz="0" w:space="0" w:color="auto"/>
        <w:left w:val="none" w:sz="0" w:space="0" w:color="auto"/>
        <w:bottom w:val="none" w:sz="0" w:space="0" w:color="auto"/>
        <w:right w:val="none" w:sz="0" w:space="0" w:color="auto"/>
      </w:divBdr>
    </w:div>
    <w:div w:id="554319984">
      <w:bodyDiv w:val="1"/>
      <w:marLeft w:val="0"/>
      <w:marRight w:val="0"/>
      <w:marTop w:val="0"/>
      <w:marBottom w:val="0"/>
      <w:divBdr>
        <w:top w:val="none" w:sz="0" w:space="0" w:color="auto"/>
        <w:left w:val="none" w:sz="0" w:space="0" w:color="auto"/>
        <w:bottom w:val="none" w:sz="0" w:space="0" w:color="auto"/>
        <w:right w:val="none" w:sz="0" w:space="0" w:color="auto"/>
      </w:divBdr>
    </w:div>
    <w:div w:id="570699866">
      <w:bodyDiv w:val="1"/>
      <w:marLeft w:val="0"/>
      <w:marRight w:val="0"/>
      <w:marTop w:val="0"/>
      <w:marBottom w:val="0"/>
      <w:divBdr>
        <w:top w:val="none" w:sz="0" w:space="0" w:color="auto"/>
        <w:left w:val="none" w:sz="0" w:space="0" w:color="auto"/>
        <w:bottom w:val="none" w:sz="0" w:space="0" w:color="auto"/>
        <w:right w:val="none" w:sz="0" w:space="0" w:color="auto"/>
      </w:divBdr>
    </w:div>
    <w:div w:id="611975907">
      <w:bodyDiv w:val="1"/>
      <w:marLeft w:val="0"/>
      <w:marRight w:val="0"/>
      <w:marTop w:val="0"/>
      <w:marBottom w:val="0"/>
      <w:divBdr>
        <w:top w:val="none" w:sz="0" w:space="0" w:color="auto"/>
        <w:left w:val="none" w:sz="0" w:space="0" w:color="auto"/>
        <w:bottom w:val="none" w:sz="0" w:space="0" w:color="auto"/>
        <w:right w:val="none" w:sz="0" w:space="0" w:color="auto"/>
      </w:divBdr>
    </w:div>
    <w:div w:id="649289463">
      <w:bodyDiv w:val="1"/>
      <w:marLeft w:val="0"/>
      <w:marRight w:val="0"/>
      <w:marTop w:val="0"/>
      <w:marBottom w:val="0"/>
      <w:divBdr>
        <w:top w:val="none" w:sz="0" w:space="0" w:color="auto"/>
        <w:left w:val="none" w:sz="0" w:space="0" w:color="auto"/>
        <w:bottom w:val="none" w:sz="0" w:space="0" w:color="auto"/>
        <w:right w:val="none" w:sz="0" w:space="0" w:color="auto"/>
      </w:divBdr>
    </w:div>
    <w:div w:id="771319505">
      <w:bodyDiv w:val="1"/>
      <w:marLeft w:val="0"/>
      <w:marRight w:val="0"/>
      <w:marTop w:val="0"/>
      <w:marBottom w:val="0"/>
      <w:divBdr>
        <w:top w:val="none" w:sz="0" w:space="0" w:color="auto"/>
        <w:left w:val="none" w:sz="0" w:space="0" w:color="auto"/>
        <w:bottom w:val="none" w:sz="0" w:space="0" w:color="auto"/>
        <w:right w:val="none" w:sz="0" w:space="0" w:color="auto"/>
      </w:divBdr>
    </w:div>
    <w:div w:id="818694571">
      <w:bodyDiv w:val="1"/>
      <w:marLeft w:val="0"/>
      <w:marRight w:val="0"/>
      <w:marTop w:val="0"/>
      <w:marBottom w:val="0"/>
      <w:divBdr>
        <w:top w:val="none" w:sz="0" w:space="0" w:color="auto"/>
        <w:left w:val="none" w:sz="0" w:space="0" w:color="auto"/>
        <w:bottom w:val="none" w:sz="0" w:space="0" w:color="auto"/>
        <w:right w:val="none" w:sz="0" w:space="0" w:color="auto"/>
      </w:divBdr>
    </w:div>
    <w:div w:id="1091000401">
      <w:bodyDiv w:val="1"/>
      <w:marLeft w:val="0"/>
      <w:marRight w:val="0"/>
      <w:marTop w:val="0"/>
      <w:marBottom w:val="0"/>
      <w:divBdr>
        <w:top w:val="none" w:sz="0" w:space="0" w:color="auto"/>
        <w:left w:val="none" w:sz="0" w:space="0" w:color="auto"/>
        <w:bottom w:val="none" w:sz="0" w:space="0" w:color="auto"/>
        <w:right w:val="none" w:sz="0" w:space="0" w:color="auto"/>
      </w:divBdr>
    </w:div>
    <w:div w:id="1142695510">
      <w:bodyDiv w:val="1"/>
      <w:marLeft w:val="0"/>
      <w:marRight w:val="0"/>
      <w:marTop w:val="0"/>
      <w:marBottom w:val="0"/>
      <w:divBdr>
        <w:top w:val="none" w:sz="0" w:space="0" w:color="auto"/>
        <w:left w:val="none" w:sz="0" w:space="0" w:color="auto"/>
        <w:bottom w:val="none" w:sz="0" w:space="0" w:color="auto"/>
        <w:right w:val="none" w:sz="0" w:space="0" w:color="auto"/>
      </w:divBdr>
      <w:divsChild>
        <w:div w:id="863634340">
          <w:marLeft w:val="0"/>
          <w:marRight w:val="0"/>
          <w:marTop w:val="0"/>
          <w:marBottom w:val="0"/>
          <w:divBdr>
            <w:top w:val="none" w:sz="0" w:space="0" w:color="auto"/>
            <w:left w:val="none" w:sz="0" w:space="0" w:color="auto"/>
            <w:bottom w:val="none" w:sz="0" w:space="0" w:color="auto"/>
            <w:right w:val="none" w:sz="0" w:space="0" w:color="auto"/>
          </w:divBdr>
          <w:divsChild>
            <w:div w:id="829101519">
              <w:marLeft w:val="0"/>
              <w:marRight w:val="0"/>
              <w:marTop w:val="75"/>
              <w:marBottom w:val="0"/>
              <w:divBdr>
                <w:top w:val="none" w:sz="0" w:space="0" w:color="auto"/>
                <w:left w:val="none" w:sz="0" w:space="0" w:color="auto"/>
                <w:bottom w:val="none" w:sz="0" w:space="0" w:color="auto"/>
                <w:right w:val="none" w:sz="0" w:space="0" w:color="auto"/>
              </w:divBdr>
              <w:divsChild>
                <w:div w:id="718406584">
                  <w:marLeft w:val="-113"/>
                  <w:marRight w:val="-113"/>
                  <w:marTop w:val="0"/>
                  <w:marBottom w:val="0"/>
                  <w:divBdr>
                    <w:top w:val="none" w:sz="0" w:space="0" w:color="auto"/>
                    <w:left w:val="none" w:sz="0" w:space="0" w:color="auto"/>
                    <w:bottom w:val="none" w:sz="0" w:space="0" w:color="auto"/>
                    <w:right w:val="none" w:sz="0" w:space="0" w:color="auto"/>
                  </w:divBdr>
                  <w:divsChild>
                    <w:div w:id="1996227041">
                      <w:marLeft w:val="0"/>
                      <w:marRight w:val="0"/>
                      <w:marTop w:val="0"/>
                      <w:marBottom w:val="0"/>
                      <w:divBdr>
                        <w:top w:val="none" w:sz="0" w:space="0" w:color="auto"/>
                        <w:left w:val="none" w:sz="0" w:space="0" w:color="auto"/>
                        <w:bottom w:val="none" w:sz="0" w:space="0" w:color="auto"/>
                        <w:right w:val="none" w:sz="0" w:space="0" w:color="auto"/>
                      </w:divBdr>
                      <w:divsChild>
                        <w:div w:id="1938174242">
                          <w:marLeft w:val="-113"/>
                          <w:marRight w:val="-113"/>
                          <w:marTop w:val="0"/>
                          <w:marBottom w:val="0"/>
                          <w:divBdr>
                            <w:top w:val="none" w:sz="0" w:space="0" w:color="auto"/>
                            <w:left w:val="none" w:sz="0" w:space="0" w:color="auto"/>
                            <w:bottom w:val="none" w:sz="0" w:space="0" w:color="auto"/>
                            <w:right w:val="none" w:sz="0" w:space="0" w:color="auto"/>
                          </w:divBdr>
                          <w:divsChild>
                            <w:div w:id="1937442072">
                              <w:marLeft w:val="0"/>
                              <w:marRight w:val="0"/>
                              <w:marTop w:val="0"/>
                              <w:marBottom w:val="0"/>
                              <w:divBdr>
                                <w:top w:val="none" w:sz="0" w:space="0" w:color="auto"/>
                                <w:left w:val="none" w:sz="0" w:space="0" w:color="auto"/>
                                <w:bottom w:val="none" w:sz="0" w:space="0" w:color="auto"/>
                                <w:right w:val="none" w:sz="0" w:space="0" w:color="auto"/>
                              </w:divBdr>
                              <w:divsChild>
                                <w:div w:id="532305218">
                                  <w:marLeft w:val="0"/>
                                  <w:marRight w:val="0"/>
                                  <w:marTop w:val="0"/>
                                  <w:marBottom w:val="0"/>
                                  <w:divBdr>
                                    <w:top w:val="none" w:sz="0" w:space="0" w:color="auto"/>
                                    <w:left w:val="none" w:sz="0" w:space="0" w:color="auto"/>
                                    <w:bottom w:val="none" w:sz="0" w:space="0" w:color="auto"/>
                                    <w:right w:val="none" w:sz="0" w:space="0" w:color="auto"/>
                                  </w:divBdr>
                                  <w:divsChild>
                                    <w:div w:id="366099955">
                                      <w:marLeft w:val="0"/>
                                      <w:marRight w:val="0"/>
                                      <w:marTop w:val="0"/>
                                      <w:marBottom w:val="0"/>
                                      <w:divBdr>
                                        <w:top w:val="none" w:sz="0" w:space="0" w:color="auto"/>
                                        <w:left w:val="none" w:sz="0" w:space="0" w:color="auto"/>
                                        <w:bottom w:val="none" w:sz="0" w:space="0" w:color="auto"/>
                                        <w:right w:val="none" w:sz="0" w:space="0" w:color="auto"/>
                                      </w:divBdr>
                                      <w:divsChild>
                                        <w:div w:id="957219137">
                                          <w:marLeft w:val="0"/>
                                          <w:marRight w:val="0"/>
                                          <w:marTop w:val="0"/>
                                          <w:marBottom w:val="0"/>
                                          <w:divBdr>
                                            <w:top w:val="none" w:sz="0" w:space="0" w:color="auto"/>
                                            <w:left w:val="none" w:sz="0" w:space="0" w:color="auto"/>
                                            <w:bottom w:val="none" w:sz="0" w:space="0" w:color="auto"/>
                                            <w:right w:val="none" w:sz="0" w:space="0" w:color="auto"/>
                                          </w:divBdr>
                                          <w:divsChild>
                                            <w:div w:id="1560049464">
                                              <w:marLeft w:val="0"/>
                                              <w:marRight w:val="0"/>
                                              <w:marTop w:val="0"/>
                                              <w:marBottom w:val="0"/>
                                              <w:divBdr>
                                                <w:top w:val="none" w:sz="0" w:space="0" w:color="auto"/>
                                                <w:left w:val="none" w:sz="0" w:space="0" w:color="auto"/>
                                                <w:bottom w:val="none" w:sz="0" w:space="0" w:color="auto"/>
                                                <w:right w:val="none" w:sz="0" w:space="0" w:color="auto"/>
                                              </w:divBdr>
                                              <w:divsChild>
                                                <w:div w:id="121924511">
                                                  <w:marLeft w:val="0"/>
                                                  <w:marRight w:val="0"/>
                                                  <w:marTop w:val="0"/>
                                                  <w:marBottom w:val="0"/>
                                                  <w:divBdr>
                                                    <w:top w:val="none" w:sz="0" w:space="0" w:color="auto"/>
                                                    <w:left w:val="none" w:sz="0" w:space="0" w:color="auto"/>
                                                    <w:bottom w:val="none" w:sz="0" w:space="0" w:color="auto"/>
                                                    <w:right w:val="none" w:sz="0" w:space="0" w:color="auto"/>
                                                  </w:divBdr>
                                                  <w:divsChild>
                                                    <w:div w:id="1453943509">
                                                      <w:marLeft w:val="0"/>
                                                      <w:marRight w:val="0"/>
                                                      <w:marTop w:val="0"/>
                                                      <w:marBottom w:val="0"/>
                                                      <w:divBdr>
                                                        <w:top w:val="none" w:sz="0" w:space="0" w:color="auto"/>
                                                        <w:left w:val="none" w:sz="0" w:space="0" w:color="auto"/>
                                                        <w:bottom w:val="none" w:sz="0" w:space="0" w:color="auto"/>
                                                        <w:right w:val="none" w:sz="0" w:space="0" w:color="auto"/>
                                                      </w:divBdr>
                                                      <w:divsChild>
                                                        <w:div w:id="1136680829">
                                                          <w:marLeft w:val="0"/>
                                                          <w:marRight w:val="0"/>
                                                          <w:marTop w:val="0"/>
                                                          <w:marBottom w:val="0"/>
                                                          <w:divBdr>
                                                            <w:top w:val="none" w:sz="0" w:space="0" w:color="auto"/>
                                                            <w:left w:val="none" w:sz="0" w:space="0" w:color="auto"/>
                                                            <w:bottom w:val="none" w:sz="0" w:space="0" w:color="auto"/>
                                                            <w:right w:val="none" w:sz="0" w:space="0" w:color="auto"/>
                                                          </w:divBdr>
                                                          <w:divsChild>
                                                            <w:div w:id="1377121626">
                                                              <w:marLeft w:val="0"/>
                                                              <w:marRight w:val="0"/>
                                                              <w:marTop w:val="0"/>
                                                              <w:marBottom w:val="0"/>
                                                              <w:divBdr>
                                                                <w:top w:val="none" w:sz="0" w:space="0" w:color="auto"/>
                                                                <w:left w:val="none" w:sz="0" w:space="0" w:color="auto"/>
                                                                <w:bottom w:val="none" w:sz="0" w:space="0" w:color="auto"/>
                                                                <w:right w:val="none" w:sz="0" w:space="0" w:color="auto"/>
                                                              </w:divBdr>
                                                              <w:divsChild>
                                                                <w:div w:id="9002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4955247">
      <w:bodyDiv w:val="1"/>
      <w:marLeft w:val="0"/>
      <w:marRight w:val="0"/>
      <w:marTop w:val="0"/>
      <w:marBottom w:val="0"/>
      <w:divBdr>
        <w:top w:val="none" w:sz="0" w:space="0" w:color="auto"/>
        <w:left w:val="none" w:sz="0" w:space="0" w:color="auto"/>
        <w:bottom w:val="none" w:sz="0" w:space="0" w:color="auto"/>
        <w:right w:val="none" w:sz="0" w:space="0" w:color="auto"/>
      </w:divBdr>
    </w:div>
    <w:div w:id="1234513314">
      <w:bodyDiv w:val="1"/>
      <w:marLeft w:val="0"/>
      <w:marRight w:val="0"/>
      <w:marTop w:val="0"/>
      <w:marBottom w:val="0"/>
      <w:divBdr>
        <w:top w:val="none" w:sz="0" w:space="0" w:color="auto"/>
        <w:left w:val="none" w:sz="0" w:space="0" w:color="auto"/>
        <w:bottom w:val="none" w:sz="0" w:space="0" w:color="auto"/>
        <w:right w:val="none" w:sz="0" w:space="0" w:color="auto"/>
      </w:divBdr>
    </w:div>
    <w:div w:id="1241988588">
      <w:bodyDiv w:val="1"/>
      <w:marLeft w:val="0"/>
      <w:marRight w:val="0"/>
      <w:marTop w:val="0"/>
      <w:marBottom w:val="0"/>
      <w:divBdr>
        <w:top w:val="none" w:sz="0" w:space="0" w:color="auto"/>
        <w:left w:val="none" w:sz="0" w:space="0" w:color="auto"/>
        <w:bottom w:val="none" w:sz="0" w:space="0" w:color="auto"/>
        <w:right w:val="none" w:sz="0" w:space="0" w:color="auto"/>
      </w:divBdr>
      <w:divsChild>
        <w:div w:id="15230643">
          <w:marLeft w:val="0"/>
          <w:marRight w:val="0"/>
          <w:marTop w:val="0"/>
          <w:marBottom w:val="300"/>
          <w:divBdr>
            <w:top w:val="none" w:sz="0" w:space="0" w:color="auto"/>
            <w:left w:val="none" w:sz="0" w:space="0" w:color="auto"/>
            <w:bottom w:val="none" w:sz="0" w:space="0" w:color="auto"/>
            <w:right w:val="none" w:sz="0" w:space="0" w:color="auto"/>
          </w:divBdr>
        </w:div>
      </w:divsChild>
    </w:div>
    <w:div w:id="1288970116">
      <w:bodyDiv w:val="1"/>
      <w:marLeft w:val="0"/>
      <w:marRight w:val="0"/>
      <w:marTop w:val="0"/>
      <w:marBottom w:val="0"/>
      <w:divBdr>
        <w:top w:val="none" w:sz="0" w:space="0" w:color="auto"/>
        <w:left w:val="none" w:sz="0" w:space="0" w:color="auto"/>
        <w:bottom w:val="none" w:sz="0" w:space="0" w:color="auto"/>
        <w:right w:val="none" w:sz="0" w:space="0" w:color="auto"/>
      </w:divBdr>
    </w:div>
    <w:div w:id="1356885563">
      <w:bodyDiv w:val="1"/>
      <w:marLeft w:val="0"/>
      <w:marRight w:val="0"/>
      <w:marTop w:val="0"/>
      <w:marBottom w:val="0"/>
      <w:divBdr>
        <w:top w:val="none" w:sz="0" w:space="0" w:color="auto"/>
        <w:left w:val="none" w:sz="0" w:space="0" w:color="auto"/>
        <w:bottom w:val="none" w:sz="0" w:space="0" w:color="auto"/>
        <w:right w:val="none" w:sz="0" w:space="0" w:color="auto"/>
      </w:divBdr>
    </w:div>
    <w:div w:id="1456438566">
      <w:bodyDiv w:val="1"/>
      <w:marLeft w:val="0"/>
      <w:marRight w:val="0"/>
      <w:marTop w:val="0"/>
      <w:marBottom w:val="0"/>
      <w:divBdr>
        <w:top w:val="none" w:sz="0" w:space="0" w:color="auto"/>
        <w:left w:val="none" w:sz="0" w:space="0" w:color="auto"/>
        <w:bottom w:val="none" w:sz="0" w:space="0" w:color="auto"/>
        <w:right w:val="none" w:sz="0" w:space="0" w:color="auto"/>
      </w:divBdr>
    </w:div>
    <w:div w:id="1628705182">
      <w:bodyDiv w:val="1"/>
      <w:marLeft w:val="0"/>
      <w:marRight w:val="0"/>
      <w:marTop w:val="0"/>
      <w:marBottom w:val="0"/>
      <w:divBdr>
        <w:top w:val="none" w:sz="0" w:space="0" w:color="auto"/>
        <w:left w:val="none" w:sz="0" w:space="0" w:color="auto"/>
        <w:bottom w:val="none" w:sz="0" w:space="0" w:color="auto"/>
        <w:right w:val="none" w:sz="0" w:space="0" w:color="auto"/>
      </w:divBdr>
      <w:divsChild>
        <w:div w:id="1285311644">
          <w:marLeft w:val="0"/>
          <w:marRight w:val="0"/>
          <w:marTop w:val="0"/>
          <w:marBottom w:val="0"/>
          <w:divBdr>
            <w:top w:val="none" w:sz="0" w:space="0" w:color="auto"/>
            <w:left w:val="none" w:sz="0" w:space="0" w:color="auto"/>
            <w:bottom w:val="none" w:sz="0" w:space="0" w:color="auto"/>
            <w:right w:val="none" w:sz="0" w:space="0" w:color="auto"/>
          </w:divBdr>
          <w:divsChild>
            <w:div w:id="1568489932">
              <w:marLeft w:val="0"/>
              <w:marRight w:val="0"/>
              <w:marTop w:val="0"/>
              <w:marBottom w:val="0"/>
              <w:divBdr>
                <w:top w:val="none" w:sz="0" w:space="0" w:color="auto"/>
                <w:left w:val="none" w:sz="0" w:space="0" w:color="auto"/>
                <w:bottom w:val="none" w:sz="0" w:space="0" w:color="auto"/>
                <w:right w:val="none" w:sz="0" w:space="0" w:color="auto"/>
              </w:divBdr>
              <w:divsChild>
                <w:div w:id="1539664279">
                  <w:marLeft w:val="0"/>
                  <w:marRight w:val="0"/>
                  <w:marTop w:val="0"/>
                  <w:marBottom w:val="0"/>
                  <w:divBdr>
                    <w:top w:val="none" w:sz="0" w:space="0" w:color="auto"/>
                    <w:left w:val="none" w:sz="0" w:space="0" w:color="auto"/>
                    <w:bottom w:val="none" w:sz="0" w:space="0" w:color="auto"/>
                    <w:right w:val="none" w:sz="0" w:space="0" w:color="auto"/>
                  </w:divBdr>
                  <w:divsChild>
                    <w:div w:id="1938754386">
                      <w:marLeft w:val="0"/>
                      <w:marRight w:val="0"/>
                      <w:marTop w:val="0"/>
                      <w:marBottom w:val="0"/>
                      <w:divBdr>
                        <w:top w:val="none" w:sz="0" w:space="0" w:color="auto"/>
                        <w:left w:val="none" w:sz="0" w:space="0" w:color="auto"/>
                        <w:bottom w:val="none" w:sz="0" w:space="0" w:color="auto"/>
                        <w:right w:val="none" w:sz="0" w:space="0" w:color="auto"/>
                      </w:divBdr>
                      <w:divsChild>
                        <w:div w:id="5299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2418">
          <w:marLeft w:val="0"/>
          <w:marRight w:val="0"/>
          <w:marTop w:val="0"/>
          <w:marBottom w:val="0"/>
          <w:divBdr>
            <w:top w:val="none" w:sz="0" w:space="0" w:color="auto"/>
            <w:left w:val="none" w:sz="0" w:space="0" w:color="auto"/>
            <w:bottom w:val="none" w:sz="0" w:space="0" w:color="auto"/>
            <w:right w:val="none" w:sz="0" w:space="0" w:color="auto"/>
          </w:divBdr>
          <w:divsChild>
            <w:div w:id="397169938">
              <w:marLeft w:val="0"/>
              <w:marRight w:val="0"/>
              <w:marTop w:val="0"/>
              <w:marBottom w:val="0"/>
              <w:divBdr>
                <w:top w:val="none" w:sz="0" w:space="0" w:color="auto"/>
                <w:left w:val="none" w:sz="0" w:space="0" w:color="auto"/>
                <w:bottom w:val="none" w:sz="0" w:space="0" w:color="auto"/>
                <w:right w:val="none" w:sz="0" w:space="0" w:color="auto"/>
              </w:divBdr>
              <w:divsChild>
                <w:div w:id="741871891">
                  <w:marLeft w:val="0"/>
                  <w:marRight w:val="0"/>
                  <w:marTop w:val="0"/>
                  <w:marBottom w:val="0"/>
                  <w:divBdr>
                    <w:top w:val="none" w:sz="0" w:space="0" w:color="auto"/>
                    <w:left w:val="none" w:sz="0" w:space="0" w:color="auto"/>
                    <w:bottom w:val="none" w:sz="0" w:space="0" w:color="auto"/>
                    <w:right w:val="none" w:sz="0" w:space="0" w:color="auto"/>
                  </w:divBdr>
                </w:div>
                <w:div w:id="289021047">
                  <w:marLeft w:val="0"/>
                  <w:marRight w:val="0"/>
                  <w:marTop w:val="0"/>
                  <w:marBottom w:val="0"/>
                  <w:divBdr>
                    <w:top w:val="none" w:sz="0" w:space="0" w:color="auto"/>
                    <w:left w:val="none" w:sz="0" w:space="0" w:color="auto"/>
                    <w:bottom w:val="none" w:sz="0" w:space="0" w:color="auto"/>
                    <w:right w:val="none" w:sz="0" w:space="0" w:color="auto"/>
                  </w:divBdr>
                </w:div>
              </w:divsChild>
            </w:div>
            <w:div w:id="738794373">
              <w:marLeft w:val="0"/>
              <w:marRight w:val="0"/>
              <w:marTop w:val="0"/>
              <w:marBottom w:val="0"/>
              <w:divBdr>
                <w:top w:val="none" w:sz="0" w:space="0" w:color="auto"/>
                <w:left w:val="none" w:sz="0" w:space="0" w:color="auto"/>
                <w:bottom w:val="none" w:sz="0" w:space="0" w:color="auto"/>
                <w:right w:val="none" w:sz="0" w:space="0" w:color="auto"/>
              </w:divBdr>
            </w:div>
            <w:div w:id="371270042">
              <w:marLeft w:val="0"/>
              <w:marRight w:val="0"/>
              <w:marTop w:val="0"/>
              <w:marBottom w:val="0"/>
              <w:divBdr>
                <w:top w:val="none" w:sz="0" w:space="0" w:color="auto"/>
                <w:left w:val="none" w:sz="0" w:space="0" w:color="auto"/>
                <w:bottom w:val="none" w:sz="0" w:space="0" w:color="auto"/>
                <w:right w:val="none" w:sz="0" w:space="0" w:color="auto"/>
              </w:divBdr>
              <w:divsChild>
                <w:div w:id="1357778382">
                  <w:marLeft w:val="0"/>
                  <w:marRight w:val="0"/>
                  <w:marTop w:val="0"/>
                  <w:marBottom w:val="0"/>
                  <w:divBdr>
                    <w:top w:val="none" w:sz="0" w:space="0" w:color="auto"/>
                    <w:left w:val="none" w:sz="0" w:space="0" w:color="auto"/>
                    <w:bottom w:val="none" w:sz="0" w:space="0" w:color="auto"/>
                    <w:right w:val="none" w:sz="0" w:space="0" w:color="auto"/>
                  </w:divBdr>
                  <w:divsChild>
                    <w:div w:id="1463379812">
                      <w:marLeft w:val="0"/>
                      <w:marRight w:val="0"/>
                      <w:marTop w:val="0"/>
                      <w:marBottom w:val="0"/>
                      <w:divBdr>
                        <w:top w:val="none" w:sz="0" w:space="0" w:color="auto"/>
                        <w:left w:val="none" w:sz="0" w:space="0" w:color="auto"/>
                        <w:bottom w:val="none" w:sz="0" w:space="0" w:color="auto"/>
                        <w:right w:val="none" w:sz="0" w:space="0" w:color="auto"/>
                      </w:divBdr>
                    </w:div>
                    <w:div w:id="2085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535">
              <w:marLeft w:val="0"/>
              <w:marRight w:val="0"/>
              <w:marTop w:val="0"/>
              <w:marBottom w:val="0"/>
              <w:divBdr>
                <w:top w:val="none" w:sz="0" w:space="0" w:color="auto"/>
                <w:left w:val="none" w:sz="0" w:space="0" w:color="auto"/>
                <w:bottom w:val="none" w:sz="0" w:space="0" w:color="auto"/>
                <w:right w:val="none" w:sz="0" w:space="0" w:color="auto"/>
              </w:divBdr>
              <w:divsChild>
                <w:div w:id="638266254">
                  <w:marLeft w:val="0"/>
                  <w:marRight w:val="0"/>
                  <w:marTop w:val="0"/>
                  <w:marBottom w:val="0"/>
                  <w:divBdr>
                    <w:top w:val="none" w:sz="0" w:space="0" w:color="auto"/>
                    <w:left w:val="none" w:sz="0" w:space="0" w:color="auto"/>
                    <w:bottom w:val="none" w:sz="0" w:space="0" w:color="auto"/>
                    <w:right w:val="none" w:sz="0" w:space="0" w:color="auto"/>
                  </w:divBdr>
                  <w:divsChild>
                    <w:div w:id="738288715">
                      <w:marLeft w:val="0"/>
                      <w:marRight w:val="0"/>
                      <w:marTop w:val="0"/>
                      <w:marBottom w:val="0"/>
                      <w:divBdr>
                        <w:top w:val="none" w:sz="0" w:space="0" w:color="auto"/>
                        <w:left w:val="none" w:sz="0" w:space="0" w:color="auto"/>
                        <w:bottom w:val="none" w:sz="0" w:space="0" w:color="auto"/>
                        <w:right w:val="none" w:sz="0" w:space="0" w:color="auto"/>
                      </w:divBdr>
                    </w:div>
                    <w:div w:id="6058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5375">
              <w:marLeft w:val="0"/>
              <w:marRight w:val="0"/>
              <w:marTop w:val="0"/>
              <w:marBottom w:val="0"/>
              <w:divBdr>
                <w:top w:val="none" w:sz="0" w:space="0" w:color="auto"/>
                <w:left w:val="none" w:sz="0" w:space="0" w:color="auto"/>
                <w:bottom w:val="none" w:sz="0" w:space="0" w:color="auto"/>
                <w:right w:val="none" w:sz="0" w:space="0" w:color="auto"/>
              </w:divBdr>
              <w:divsChild>
                <w:div w:id="7851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8716">
      <w:bodyDiv w:val="1"/>
      <w:marLeft w:val="0"/>
      <w:marRight w:val="0"/>
      <w:marTop w:val="0"/>
      <w:marBottom w:val="0"/>
      <w:divBdr>
        <w:top w:val="none" w:sz="0" w:space="0" w:color="auto"/>
        <w:left w:val="none" w:sz="0" w:space="0" w:color="auto"/>
        <w:bottom w:val="none" w:sz="0" w:space="0" w:color="auto"/>
        <w:right w:val="none" w:sz="0" w:space="0" w:color="auto"/>
      </w:divBdr>
    </w:div>
    <w:div w:id="1696728677">
      <w:bodyDiv w:val="1"/>
      <w:marLeft w:val="0"/>
      <w:marRight w:val="0"/>
      <w:marTop w:val="0"/>
      <w:marBottom w:val="0"/>
      <w:divBdr>
        <w:top w:val="none" w:sz="0" w:space="0" w:color="auto"/>
        <w:left w:val="none" w:sz="0" w:space="0" w:color="auto"/>
        <w:bottom w:val="none" w:sz="0" w:space="0" w:color="auto"/>
        <w:right w:val="none" w:sz="0" w:space="0" w:color="auto"/>
      </w:divBdr>
    </w:div>
    <w:div w:id="1703626406">
      <w:bodyDiv w:val="1"/>
      <w:marLeft w:val="0"/>
      <w:marRight w:val="0"/>
      <w:marTop w:val="0"/>
      <w:marBottom w:val="0"/>
      <w:divBdr>
        <w:top w:val="none" w:sz="0" w:space="0" w:color="auto"/>
        <w:left w:val="none" w:sz="0" w:space="0" w:color="auto"/>
        <w:bottom w:val="none" w:sz="0" w:space="0" w:color="auto"/>
        <w:right w:val="none" w:sz="0" w:space="0" w:color="auto"/>
      </w:divBdr>
      <w:divsChild>
        <w:div w:id="1385330048">
          <w:marLeft w:val="0"/>
          <w:marRight w:val="0"/>
          <w:marTop w:val="0"/>
          <w:marBottom w:val="75"/>
          <w:divBdr>
            <w:top w:val="none" w:sz="0" w:space="0" w:color="auto"/>
            <w:left w:val="none" w:sz="0" w:space="0" w:color="auto"/>
            <w:bottom w:val="none" w:sz="0" w:space="0" w:color="auto"/>
            <w:right w:val="none" w:sz="0" w:space="0" w:color="auto"/>
          </w:divBdr>
          <w:divsChild>
            <w:div w:id="1357999050">
              <w:marLeft w:val="0"/>
              <w:marRight w:val="0"/>
              <w:marTop w:val="0"/>
              <w:marBottom w:val="0"/>
              <w:divBdr>
                <w:top w:val="none" w:sz="0" w:space="0" w:color="auto"/>
                <w:left w:val="none" w:sz="0" w:space="0" w:color="auto"/>
                <w:bottom w:val="none" w:sz="0" w:space="0" w:color="auto"/>
                <w:right w:val="none" w:sz="0" w:space="0" w:color="auto"/>
              </w:divBdr>
              <w:divsChild>
                <w:div w:id="5815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2905">
      <w:bodyDiv w:val="1"/>
      <w:marLeft w:val="0"/>
      <w:marRight w:val="0"/>
      <w:marTop w:val="0"/>
      <w:marBottom w:val="0"/>
      <w:divBdr>
        <w:top w:val="none" w:sz="0" w:space="0" w:color="auto"/>
        <w:left w:val="none" w:sz="0" w:space="0" w:color="auto"/>
        <w:bottom w:val="none" w:sz="0" w:space="0" w:color="auto"/>
        <w:right w:val="none" w:sz="0" w:space="0" w:color="auto"/>
      </w:divBdr>
    </w:div>
    <w:div w:id="1742213150">
      <w:bodyDiv w:val="1"/>
      <w:marLeft w:val="0"/>
      <w:marRight w:val="0"/>
      <w:marTop w:val="0"/>
      <w:marBottom w:val="0"/>
      <w:divBdr>
        <w:top w:val="none" w:sz="0" w:space="0" w:color="auto"/>
        <w:left w:val="none" w:sz="0" w:space="0" w:color="auto"/>
        <w:bottom w:val="none" w:sz="0" w:space="0" w:color="auto"/>
        <w:right w:val="none" w:sz="0" w:space="0" w:color="auto"/>
      </w:divBdr>
    </w:div>
    <w:div w:id="1806193433">
      <w:bodyDiv w:val="1"/>
      <w:marLeft w:val="0"/>
      <w:marRight w:val="0"/>
      <w:marTop w:val="0"/>
      <w:marBottom w:val="0"/>
      <w:divBdr>
        <w:top w:val="none" w:sz="0" w:space="0" w:color="auto"/>
        <w:left w:val="none" w:sz="0" w:space="0" w:color="auto"/>
        <w:bottom w:val="none" w:sz="0" w:space="0" w:color="auto"/>
        <w:right w:val="none" w:sz="0" w:space="0" w:color="auto"/>
      </w:divBdr>
    </w:div>
    <w:div w:id="1843929968">
      <w:bodyDiv w:val="1"/>
      <w:marLeft w:val="0"/>
      <w:marRight w:val="0"/>
      <w:marTop w:val="0"/>
      <w:marBottom w:val="0"/>
      <w:divBdr>
        <w:top w:val="none" w:sz="0" w:space="0" w:color="auto"/>
        <w:left w:val="none" w:sz="0" w:space="0" w:color="auto"/>
        <w:bottom w:val="none" w:sz="0" w:space="0" w:color="auto"/>
        <w:right w:val="none" w:sz="0" w:space="0" w:color="auto"/>
      </w:divBdr>
    </w:div>
    <w:div w:id="20642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business-economy-euro/economic-performance-and-forecasts/economic-forecasts/summer-2020-economic-forecast-deeper-recession-wider-divergences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wikipedia.org/wiki/Tuscia"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73FBA-525B-4C1A-B18B-037C3F57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11</Pages>
  <Words>3710</Words>
  <Characters>21153</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dc:creator>
  <cp:lastModifiedBy>Crocicchia</cp:lastModifiedBy>
  <cp:revision>64</cp:revision>
  <cp:lastPrinted>2020-09-29T08:26:00Z</cp:lastPrinted>
  <dcterms:created xsi:type="dcterms:W3CDTF">2020-09-23T07:07:00Z</dcterms:created>
  <dcterms:modified xsi:type="dcterms:W3CDTF">2020-10-30T09:35:00Z</dcterms:modified>
</cp:coreProperties>
</file>