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DD6" w:rsidRPr="00957A2D" w:rsidRDefault="005A1DD6" w:rsidP="005A1DD6">
      <w:pPr>
        <w:pStyle w:val="Corpodeltesto22"/>
        <w:spacing w:line="240" w:lineRule="auto"/>
        <w:jc w:val="center"/>
        <w:rPr>
          <w:rFonts w:ascii="Times New Roman" w:hAnsi="Times New Roman"/>
          <w:b/>
          <w:szCs w:val="24"/>
        </w:rPr>
      </w:pPr>
    </w:p>
    <w:p w:rsidR="00170420" w:rsidRPr="009B44E3" w:rsidRDefault="00170420" w:rsidP="005A1DD6">
      <w:pPr>
        <w:pStyle w:val="Corpodeltesto22"/>
        <w:spacing w:line="240" w:lineRule="auto"/>
        <w:jc w:val="center"/>
        <w:rPr>
          <w:rFonts w:ascii="Times New Roman" w:hAnsi="Times New Roman"/>
          <w:b/>
          <w:szCs w:val="24"/>
        </w:rPr>
      </w:pPr>
    </w:p>
    <w:p w:rsidR="00C762BD" w:rsidRPr="009B44E3" w:rsidRDefault="00C762BD" w:rsidP="005A1DD6">
      <w:pPr>
        <w:pStyle w:val="Corpodeltesto22"/>
        <w:spacing w:line="240" w:lineRule="auto"/>
        <w:jc w:val="center"/>
        <w:rPr>
          <w:rFonts w:ascii="Times New Roman" w:hAnsi="Times New Roman"/>
          <w:b/>
          <w:szCs w:val="24"/>
        </w:rPr>
      </w:pPr>
    </w:p>
    <w:p w:rsidR="00C762BD" w:rsidRPr="009B44E3" w:rsidRDefault="00C762BD" w:rsidP="005A1DD6">
      <w:pPr>
        <w:pStyle w:val="Corpodeltesto22"/>
        <w:spacing w:line="240" w:lineRule="auto"/>
        <w:jc w:val="center"/>
        <w:rPr>
          <w:rFonts w:ascii="Times New Roman" w:hAnsi="Times New Roman"/>
          <w:b/>
          <w:szCs w:val="24"/>
        </w:rPr>
      </w:pPr>
    </w:p>
    <w:p w:rsidR="005A1DD6" w:rsidRPr="009B44E3" w:rsidRDefault="005A1DD6" w:rsidP="005A1DD6">
      <w:pPr>
        <w:pStyle w:val="Corpodeltesto22"/>
        <w:spacing w:line="240" w:lineRule="auto"/>
        <w:jc w:val="center"/>
        <w:rPr>
          <w:rFonts w:ascii="Times New Roman" w:hAnsi="Times New Roman"/>
          <w:b/>
          <w:szCs w:val="24"/>
        </w:rPr>
      </w:pPr>
    </w:p>
    <w:p w:rsidR="005A1DD6" w:rsidRPr="009B44E3" w:rsidRDefault="005A1DD6" w:rsidP="005A1DD6">
      <w:pPr>
        <w:pStyle w:val="Corpodeltesto22"/>
        <w:spacing w:line="240" w:lineRule="auto"/>
        <w:jc w:val="center"/>
        <w:rPr>
          <w:rFonts w:ascii="Times New Roman" w:hAnsi="Times New Roman"/>
          <w:b/>
          <w:szCs w:val="24"/>
        </w:rPr>
      </w:pPr>
    </w:p>
    <w:p w:rsidR="005A1DD6" w:rsidRPr="001442CB" w:rsidRDefault="00453B5C" w:rsidP="005A1DD6">
      <w:pPr>
        <w:pStyle w:val="Corpodeltesto22"/>
        <w:spacing w:line="240" w:lineRule="auto"/>
        <w:jc w:val="center"/>
        <w:rPr>
          <w:rFonts w:ascii="Times New Roman" w:hAnsi="Times New Roman"/>
          <w:b/>
          <w:sz w:val="32"/>
          <w:szCs w:val="32"/>
        </w:rPr>
      </w:pPr>
      <w:r w:rsidRPr="001442CB">
        <w:rPr>
          <w:rFonts w:ascii="Times New Roman" w:hAnsi="Times New Roman"/>
          <w:b/>
          <w:sz w:val="32"/>
          <w:szCs w:val="32"/>
        </w:rPr>
        <w:t>FONDAZIONE CARIVIT</w:t>
      </w:r>
    </w:p>
    <w:p w:rsidR="005A1DD6" w:rsidRPr="001978E4" w:rsidRDefault="005A1DD6" w:rsidP="005A1DD6">
      <w:pPr>
        <w:pStyle w:val="Corpodeltesto22"/>
        <w:spacing w:line="240" w:lineRule="auto"/>
        <w:jc w:val="center"/>
        <w:rPr>
          <w:rFonts w:ascii="Times New Roman" w:hAnsi="Times New Roman"/>
          <w:b/>
          <w:sz w:val="28"/>
          <w:szCs w:val="28"/>
        </w:rPr>
      </w:pPr>
    </w:p>
    <w:p w:rsidR="005A1DD6" w:rsidRPr="001978E4" w:rsidRDefault="005A1DD6" w:rsidP="005A1DD6">
      <w:pPr>
        <w:pStyle w:val="Corpodeltesto22"/>
        <w:spacing w:line="240" w:lineRule="auto"/>
        <w:jc w:val="center"/>
        <w:rPr>
          <w:rFonts w:ascii="Times New Roman" w:hAnsi="Times New Roman"/>
          <w:b/>
          <w:sz w:val="28"/>
          <w:szCs w:val="28"/>
        </w:rPr>
      </w:pPr>
    </w:p>
    <w:p w:rsidR="005A1DD6" w:rsidRPr="001978E4" w:rsidRDefault="005A1DD6" w:rsidP="005A1DD6">
      <w:pPr>
        <w:pStyle w:val="Corpodeltesto22"/>
        <w:spacing w:line="240" w:lineRule="auto"/>
        <w:jc w:val="center"/>
        <w:rPr>
          <w:rFonts w:ascii="Times New Roman" w:hAnsi="Times New Roman"/>
          <w:b/>
          <w:sz w:val="28"/>
          <w:szCs w:val="28"/>
        </w:rPr>
      </w:pPr>
    </w:p>
    <w:p w:rsidR="005A1DD6" w:rsidRPr="001978E4" w:rsidRDefault="005A1DD6" w:rsidP="005A1DD6">
      <w:pPr>
        <w:pStyle w:val="Corpodeltesto22"/>
        <w:spacing w:line="240" w:lineRule="auto"/>
        <w:jc w:val="center"/>
        <w:rPr>
          <w:rFonts w:ascii="Times New Roman" w:hAnsi="Times New Roman"/>
          <w:b/>
          <w:sz w:val="28"/>
          <w:szCs w:val="28"/>
        </w:rPr>
      </w:pPr>
    </w:p>
    <w:p w:rsidR="005A1DD6" w:rsidRPr="001978E4" w:rsidRDefault="005A1DD6" w:rsidP="005A1DD6">
      <w:pPr>
        <w:pStyle w:val="Corpodeltesto22"/>
        <w:spacing w:line="240" w:lineRule="auto"/>
        <w:jc w:val="center"/>
        <w:rPr>
          <w:rFonts w:ascii="Times New Roman" w:hAnsi="Times New Roman"/>
          <w:b/>
          <w:sz w:val="28"/>
          <w:szCs w:val="28"/>
        </w:rPr>
      </w:pPr>
    </w:p>
    <w:p w:rsidR="005A1DD6" w:rsidRPr="001978E4" w:rsidRDefault="005A1DD6" w:rsidP="005A1DD6">
      <w:pPr>
        <w:pStyle w:val="Corpodeltesto22"/>
        <w:spacing w:line="240" w:lineRule="auto"/>
        <w:jc w:val="center"/>
        <w:rPr>
          <w:rFonts w:ascii="Times New Roman" w:hAnsi="Times New Roman"/>
          <w:b/>
          <w:sz w:val="28"/>
          <w:szCs w:val="28"/>
        </w:rPr>
      </w:pPr>
    </w:p>
    <w:p w:rsidR="005613B9" w:rsidRPr="001978E4" w:rsidRDefault="005613B9" w:rsidP="005A1DD6">
      <w:pPr>
        <w:pStyle w:val="Corpodeltesto22"/>
        <w:spacing w:line="240" w:lineRule="auto"/>
        <w:jc w:val="center"/>
        <w:rPr>
          <w:rFonts w:ascii="Times New Roman" w:hAnsi="Times New Roman"/>
          <w:b/>
          <w:sz w:val="28"/>
          <w:szCs w:val="28"/>
        </w:rPr>
      </w:pPr>
    </w:p>
    <w:p w:rsidR="005A1DD6" w:rsidRPr="00592AA5" w:rsidRDefault="005A1DD6" w:rsidP="005A1DD6">
      <w:pPr>
        <w:pStyle w:val="Corpodeltesto22"/>
        <w:spacing w:line="240" w:lineRule="auto"/>
        <w:jc w:val="center"/>
        <w:rPr>
          <w:rFonts w:ascii="Times New Roman" w:hAnsi="Times New Roman"/>
          <w:b/>
          <w:sz w:val="28"/>
          <w:szCs w:val="28"/>
        </w:rPr>
      </w:pPr>
    </w:p>
    <w:p w:rsidR="005A1DD6" w:rsidRPr="00592AA5" w:rsidRDefault="005A1DD6" w:rsidP="005A1DD6">
      <w:pPr>
        <w:pStyle w:val="Corpodeltesto22"/>
        <w:spacing w:line="240" w:lineRule="auto"/>
        <w:jc w:val="center"/>
        <w:rPr>
          <w:rFonts w:ascii="Times New Roman" w:hAnsi="Times New Roman"/>
          <w:b/>
          <w:sz w:val="28"/>
          <w:szCs w:val="28"/>
        </w:rPr>
      </w:pPr>
    </w:p>
    <w:p w:rsidR="005A1DD6" w:rsidRPr="00592AA5" w:rsidRDefault="005A1DD6" w:rsidP="006E159C">
      <w:pPr>
        <w:pStyle w:val="Corpodeltesto22"/>
        <w:tabs>
          <w:tab w:val="clear" w:pos="567"/>
        </w:tabs>
        <w:spacing w:line="240" w:lineRule="auto"/>
        <w:ind w:left="0" w:firstLine="0"/>
        <w:jc w:val="center"/>
        <w:rPr>
          <w:rFonts w:ascii="Times New Roman" w:hAnsi="Times New Roman"/>
          <w:b/>
          <w:sz w:val="28"/>
          <w:szCs w:val="28"/>
        </w:rPr>
      </w:pPr>
      <w:r w:rsidRPr="00592AA5">
        <w:rPr>
          <w:rFonts w:ascii="Times New Roman" w:hAnsi="Times New Roman"/>
          <w:b/>
          <w:sz w:val="28"/>
          <w:szCs w:val="28"/>
        </w:rPr>
        <w:t>DOCUMENTO PROGRAMMATICO PREVISIONALE</w:t>
      </w:r>
    </w:p>
    <w:p w:rsidR="005A1DD6" w:rsidRPr="00592AA5" w:rsidRDefault="000E412C" w:rsidP="005A1DD6">
      <w:pPr>
        <w:pStyle w:val="Corpodeltesto22"/>
        <w:spacing w:line="240" w:lineRule="auto"/>
        <w:jc w:val="center"/>
        <w:rPr>
          <w:rFonts w:ascii="Times New Roman" w:hAnsi="Times New Roman"/>
          <w:b/>
          <w:sz w:val="28"/>
          <w:szCs w:val="28"/>
        </w:rPr>
      </w:pPr>
      <w:r w:rsidRPr="00592AA5">
        <w:rPr>
          <w:rFonts w:ascii="Times New Roman" w:hAnsi="Times New Roman"/>
          <w:b/>
          <w:sz w:val="28"/>
          <w:szCs w:val="28"/>
        </w:rPr>
        <w:t>ANNO 20</w:t>
      </w:r>
      <w:r w:rsidR="008679A2" w:rsidRPr="00592AA5">
        <w:rPr>
          <w:rFonts w:ascii="Times New Roman" w:hAnsi="Times New Roman"/>
          <w:b/>
          <w:sz w:val="28"/>
          <w:szCs w:val="28"/>
        </w:rPr>
        <w:t>2</w:t>
      </w:r>
      <w:r w:rsidR="002905DD">
        <w:rPr>
          <w:rFonts w:ascii="Times New Roman" w:hAnsi="Times New Roman"/>
          <w:b/>
          <w:sz w:val="28"/>
          <w:szCs w:val="28"/>
        </w:rPr>
        <w:t>1</w:t>
      </w:r>
    </w:p>
    <w:p w:rsidR="005A1DD6" w:rsidRPr="00592AA5" w:rsidRDefault="005A1DD6" w:rsidP="008B2D9B">
      <w:pPr>
        <w:pStyle w:val="Corpodeltesto22"/>
        <w:spacing w:line="240" w:lineRule="auto"/>
        <w:jc w:val="center"/>
        <w:rPr>
          <w:rFonts w:ascii="Times New Roman" w:hAnsi="Times New Roman"/>
          <w:b/>
          <w:sz w:val="28"/>
          <w:szCs w:val="28"/>
        </w:rPr>
      </w:pPr>
    </w:p>
    <w:p w:rsidR="005A1DD6" w:rsidRPr="009B44E3" w:rsidRDefault="005A1DD6" w:rsidP="008B2D9B">
      <w:pPr>
        <w:pStyle w:val="Corpodeltesto22"/>
        <w:spacing w:line="240" w:lineRule="auto"/>
        <w:jc w:val="center"/>
        <w:rPr>
          <w:rFonts w:ascii="Times New Roman" w:hAnsi="Times New Roman"/>
          <w:b/>
          <w:szCs w:val="24"/>
        </w:rPr>
      </w:pPr>
    </w:p>
    <w:p w:rsidR="00EA6683" w:rsidRPr="009B44E3" w:rsidRDefault="00EA6683" w:rsidP="008B2D9B">
      <w:pPr>
        <w:pStyle w:val="Corpodeltesto22"/>
        <w:spacing w:line="240" w:lineRule="auto"/>
        <w:jc w:val="center"/>
        <w:rPr>
          <w:rFonts w:ascii="Times New Roman" w:hAnsi="Times New Roman"/>
          <w:b/>
          <w:szCs w:val="24"/>
        </w:rPr>
      </w:pPr>
    </w:p>
    <w:p w:rsidR="006B306E" w:rsidRPr="009B44E3" w:rsidRDefault="006B306E" w:rsidP="008B2D9B">
      <w:pPr>
        <w:pStyle w:val="Corpodeltesto22"/>
        <w:spacing w:line="240" w:lineRule="auto"/>
        <w:jc w:val="center"/>
        <w:rPr>
          <w:rFonts w:ascii="Times New Roman" w:hAnsi="Times New Roman"/>
          <w:szCs w:val="24"/>
        </w:rPr>
      </w:pPr>
    </w:p>
    <w:p w:rsidR="006B306E" w:rsidRPr="009B44E3" w:rsidRDefault="006B306E" w:rsidP="008B2D9B">
      <w:pPr>
        <w:pStyle w:val="Corpodeltesto22"/>
        <w:spacing w:line="240" w:lineRule="auto"/>
        <w:jc w:val="center"/>
        <w:rPr>
          <w:rFonts w:ascii="Times New Roman" w:hAnsi="Times New Roman"/>
          <w:szCs w:val="24"/>
        </w:rPr>
      </w:pPr>
    </w:p>
    <w:p w:rsidR="000E412C" w:rsidRPr="009B44E3" w:rsidRDefault="000E412C" w:rsidP="008B2D9B">
      <w:pPr>
        <w:pStyle w:val="Corpodeltesto22"/>
        <w:spacing w:line="240" w:lineRule="auto"/>
        <w:jc w:val="center"/>
        <w:rPr>
          <w:rFonts w:ascii="Times New Roman" w:hAnsi="Times New Roman"/>
          <w:szCs w:val="24"/>
        </w:rPr>
      </w:pPr>
    </w:p>
    <w:p w:rsidR="00031A4D" w:rsidRPr="00031A4D" w:rsidRDefault="00031A4D" w:rsidP="007E4FE8">
      <w:pPr>
        <w:pStyle w:val="Corpodeltesto22"/>
        <w:spacing w:line="240" w:lineRule="auto"/>
        <w:jc w:val="center"/>
        <w:rPr>
          <w:rFonts w:ascii="Times New Roman" w:hAnsi="Times New Roman"/>
          <w:b/>
          <w:szCs w:val="24"/>
        </w:rPr>
      </w:pPr>
      <w:r w:rsidRPr="00031A4D">
        <w:rPr>
          <w:rFonts w:ascii="Times New Roman" w:hAnsi="Times New Roman"/>
          <w:b/>
          <w:szCs w:val="24"/>
        </w:rPr>
        <w:t xml:space="preserve">Approvato dal Consiglio di </w:t>
      </w:r>
      <w:proofErr w:type="gramStart"/>
      <w:r w:rsidRPr="00031A4D">
        <w:rPr>
          <w:rFonts w:ascii="Times New Roman" w:hAnsi="Times New Roman"/>
          <w:b/>
          <w:szCs w:val="24"/>
        </w:rPr>
        <w:t>Indirizzo  nella</w:t>
      </w:r>
      <w:proofErr w:type="gramEnd"/>
      <w:r w:rsidRPr="00031A4D">
        <w:rPr>
          <w:rFonts w:ascii="Times New Roman" w:hAnsi="Times New Roman"/>
          <w:b/>
          <w:szCs w:val="24"/>
        </w:rPr>
        <w:t xml:space="preserve"> seduta  del 26 ottobre   2020 </w:t>
      </w:r>
    </w:p>
    <w:p w:rsidR="00031A4D" w:rsidRPr="00031A4D" w:rsidRDefault="00031A4D" w:rsidP="00031A4D">
      <w:pPr>
        <w:pStyle w:val="Corpodeltesto22"/>
        <w:spacing w:line="240" w:lineRule="auto"/>
        <w:jc w:val="center"/>
        <w:rPr>
          <w:rFonts w:ascii="Times New Roman" w:hAnsi="Times New Roman"/>
          <w:b/>
          <w:szCs w:val="24"/>
        </w:rPr>
      </w:pPr>
    </w:p>
    <w:p w:rsidR="00031A4D" w:rsidRPr="00031A4D" w:rsidRDefault="00031A4D" w:rsidP="00031A4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r w:rsidRPr="00031A4D">
        <w:rPr>
          <w:rFonts w:ascii="Times New Roman" w:hAnsi="Times New Roman"/>
          <w:b/>
          <w:szCs w:val="24"/>
        </w:rPr>
        <w:t>con la relazione del Collegio dei Sindaci e il parere dell’Assemblea dei Soci</w:t>
      </w:r>
    </w:p>
    <w:p w:rsidR="00031A4D" w:rsidRPr="00031A4D" w:rsidRDefault="00031A4D" w:rsidP="00031A4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p>
    <w:p w:rsidR="00EA7149" w:rsidRPr="00013243" w:rsidRDefault="00EA7149"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p>
    <w:p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rsidR="009A4FC4" w:rsidRPr="009B44E3" w:rsidRDefault="002B0AB4"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i/>
          <w:szCs w:val="24"/>
        </w:rPr>
      </w:pPr>
      <w:r w:rsidRPr="009B44E3">
        <w:rPr>
          <w:rFonts w:ascii="Times New Roman" w:hAnsi="Times New Roman"/>
          <w:i/>
          <w:szCs w:val="24"/>
        </w:rPr>
        <w:br w:type="page"/>
      </w:r>
    </w:p>
    <w:p w:rsidR="00675AD0" w:rsidRPr="009B44E3" w:rsidRDefault="00236D54" w:rsidP="00675AD0">
      <w:pPr>
        <w:pStyle w:val="Corpodeltesto22"/>
        <w:spacing w:line="240" w:lineRule="auto"/>
        <w:jc w:val="center"/>
        <w:rPr>
          <w:rFonts w:ascii="Times New Roman" w:hAnsi="Times New Roman"/>
          <w:b/>
          <w:szCs w:val="24"/>
        </w:rPr>
      </w:pPr>
      <w:r w:rsidRPr="009B44E3">
        <w:rPr>
          <w:rFonts w:ascii="Times New Roman" w:hAnsi="Times New Roman"/>
          <w:b/>
          <w:szCs w:val="24"/>
        </w:rPr>
        <w:lastRenderedPageBreak/>
        <w:t xml:space="preserve">DOCUMENTO PROGRAMMATICO PREVISIONALE </w:t>
      </w:r>
    </w:p>
    <w:p w:rsidR="00675AD0" w:rsidRPr="009B44E3" w:rsidRDefault="008679A2" w:rsidP="00675AD0">
      <w:pPr>
        <w:pStyle w:val="Corpodeltesto22"/>
        <w:spacing w:line="240" w:lineRule="auto"/>
        <w:jc w:val="center"/>
        <w:rPr>
          <w:rFonts w:ascii="Times New Roman" w:hAnsi="Times New Roman"/>
          <w:b/>
          <w:szCs w:val="24"/>
        </w:rPr>
      </w:pPr>
      <w:r w:rsidRPr="009B44E3">
        <w:rPr>
          <w:rFonts w:ascii="Times New Roman" w:hAnsi="Times New Roman"/>
          <w:b/>
          <w:szCs w:val="24"/>
        </w:rPr>
        <w:t>ANNO 202</w:t>
      </w:r>
      <w:r w:rsidR="00012515">
        <w:rPr>
          <w:rFonts w:ascii="Times New Roman" w:hAnsi="Times New Roman"/>
          <w:b/>
          <w:szCs w:val="24"/>
        </w:rPr>
        <w:t>1</w:t>
      </w:r>
    </w:p>
    <w:p w:rsidR="00963BB2" w:rsidRPr="009B44E3" w:rsidRDefault="00963BB2" w:rsidP="00963BB2">
      <w:pPr>
        <w:rPr>
          <w:rFonts w:ascii="Times New Roman" w:hAnsi="Times New Roman"/>
        </w:rPr>
      </w:pPr>
    </w:p>
    <w:p w:rsidR="00675AD0" w:rsidRPr="009B44E3" w:rsidRDefault="00675AD0" w:rsidP="00675AD0">
      <w:pPr>
        <w:rPr>
          <w:rFonts w:ascii="Times New Roman" w:hAnsi="Times New Roman"/>
          <w:szCs w:val="24"/>
        </w:rPr>
      </w:pPr>
      <w:bookmarkStart w:id="0" w:name="_GoBack"/>
      <w:bookmarkEnd w:id="0"/>
    </w:p>
    <w:p w:rsidR="00062A25" w:rsidRPr="009B44E3" w:rsidRDefault="00675AD0" w:rsidP="00963BB2">
      <w:pPr>
        <w:rPr>
          <w:rFonts w:ascii="Times New Roman" w:hAnsi="Times New Roman"/>
          <w:b/>
          <w:sz w:val="23"/>
          <w:szCs w:val="23"/>
          <w:u w:val="single"/>
        </w:rPr>
      </w:pPr>
      <w:r w:rsidRPr="009B44E3">
        <w:rPr>
          <w:rFonts w:ascii="Times New Roman" w:hAnsi="Times New Roman"/>
          <w:b/>
          <w:iCs/>
          <w:szCs w:val="24"/>
          <w:u w:val="single"/>
        </w:rPr>
        <w:t>Premessa</w:t>
      </w:r>
      <w:r w:rsidR="00963BB2" w:rsidRPr="009B44E3">
        <w:rPr>
          <w:rFonts w:ascii="Times New Roman" w:hAnsi="Times New Roman"/>
          <w:b/>
          <w:sz w:val="23"/>
          <w:szCs w:val="23"/>
          <w:u w:val="single"/>
        </w:rPr>
        <w:t xml:space="preserve"> </w:t>
      </w:r>
    </w:p>
    <w:p w:rsidR="00041223" w:rsidRPr="00E3297B" w:rsidRDefault="00041223" w:rsidP="00041223">
      <w:pPr>
        <w:rPr>
          <w:rFonts w:ascii="Times New Roman" w:hAnsi="Times New Roman"/>
        </w:rPr>
      </w:pPr>
      <w:r w:rsidRPr="009B44E3">
        <w:rPr>
          <w:rFonts w:ascii="Times New Roman" w:hAnsi="Times New Roman"/>
        </w:rPr>
        <w:t>Il Documento trova</w:t>
      </w:r>
      <w:r w:rsidR="00950E20" w:rsidRPr="009B44E3">
        <w:rPr>
          <w:rFonts w:ascii="Times New Roman" w:hAnsi="Times New Roman"/>
        </w:rPr>
        <w:t xml:space="preserve"> il suo fondamento nel P</w:t>
      </w:r>
      <w:r w:rsidR="00D8055A" w:rsidRPr="009B44E3">
        <w:rPr>
          <w:rFonts w:ascii="Times New Roman" w:hAnsi="Times New Roman"/>
        </w:rPr>
        <w:t xml:space="preserve">iano </w:t>
      </w:r>
      <w:proofErr w:type="gramStart"/>
      <w:r w:rsidR="00D8055A" w:rsidRPr="009B44E3">
        <w:rPr>
          <w:rFonts w:ascii="Times New Roman" w:hAnsi="Times New Roman"/>
        </w:rPr>
        <w:t xml:space="preserve">di  </w:t>
      </w:r>
      <w:r w:rsidR="00950E20" w:rsidRPr="009B44E3">
        <w:rPr>
          <w:rFonts w:ascii="Times New Roman" w:hAnsi="Times New Roman"/>
        </w:rPr>
        <w:t>P</w:t>
      </w:r>
      <w:r w:rsidR="00D8055A" w:rsidRPr="009B44E3">
        <w:rPr>
          <w:rFonts w:ascii="Times New Roman" w:hAnsi="Times New Roman"/>
        </w:rPr>
        <w:t>rogrammazione</w:t>
      </w:r>
      <w:proofErr w:type="gramEnd"/>
      <w:r w:rsidR="00D8055A" w:rsidRPr="009B44E3">
        <w:rPr>
          <w:rFonts w:ascii="Times New Roman" w:hAnsi="Times New Roman"/>
        </w:rPr>
        <w:t xml:space="preserve"> </w:t>
      </w:r>
      <w:r w:rsidR="00950E20" w:rsidRPr="009B44E3">
        <w:rPr>
          <w:rFonts w:ascii="Times New Roman" w:hAnsi="Times New Roman"/>
        </w:rPr>
        <w:t>P</w:t>
      </w:r>
      <w:r w:rsidR="00D8055A" w:rsidRPr="009B44E3">
        <w:rPr>
          <w:rFonts w:ascii="Times New Roman" w:hAnsi="Times New Roman"/>
        </w:rPr>
        <w:t xml:space="preserve">luriennale </w:t>
      </w:r>
      <w:r w:rsidR="001978E4">
        <w:rPr>
          <w:rFonts w:ascii="Times New Roman" w:hAnsi="Times New Roman"/>
        </w:rPr>
        <w:t xml:space="preserve"> 2019</w:t>
      </w:r>
      <w:r w:rsidR="001B1C75">
        <w:rPr>
          <w:rFonts w:ascii="Times New Roman" w:hAnsi="Times New Roman"/>
        </w:rPr>
        <w:t>-</w:t>
      </w:r>
      <w:r w:rsidRPr="009B44E3">
        <w:rPr>
          <w:rFonts w:ascii="Times New Roman" w:hAnsi="Times New Roman"/>
        </w:rPr>
        <w:t xml:space="preserve">2021 nel quale sono stati definiti gli obiettivi strategici sia in termini di attività che di risorse </w:t>
      </w:r>
      <w:r w:rsidR="00C818D7" w:rsidRPr="00E3297B">
        <w:rPr>
          <w:rFonts w:ascii="Times New Roman" w:hAnsi="Times New Roman"/>
        </w:rPr>
        <w:t>connessi</w:t>
      </w:r>
      <w:r w:rsidRPr="00E3297B">
        <w:rPr>
          <w:rFonts w:ascii="Times New Roman" w:hAnsi="Times New Roman"/>
        </w:rPr>
        <w:t xml:space="preserve"> agli indirizzi assunti in te</w:t>
      </w:r>
      <w:r w:rsidR="008679A2" w:rsidRPr="00E3297B">
        <w:rPr>
          <w:rFonts w:ascii="Times New Roman" w:hAnsi="Times New Roman"/>
        </w:rPr>
        <w:t xml:space="preserve">ma di   gestione del patrimonio. </w:t>
      </w:r>
    </w:p>
    <w:p w:rsidR="00E3297B" w:rsidRPr="00592AA5" w:rsidRDefault="00E3297B" w:rsidP="00E3297B">
      <w:pPr>
        <w:rPr>
          <w:rFonts w:ascii="Times New Roman" w:hAnsi="Times New Roman"/>
        </w:rPr>
      </w:pPr>
      <w:r w:rsidRPr="00592AA5">
        <w:rPr>
          <w:rFonts w:ascii="Times New Roman" w:hAnsi="Times New Roman"/>
        </w:rPr>
        <w:t>Il percorso di elaborazione e redazione del DPP 202</w:t>
      </w:r>
      <w:r w:rsidR="003669CB">
        <w:rPr>
          <w:rFonts w:ascii="Times New Roman" w:hAnsi="Times New Roman"/>
        </w:rPr>
        <w:t>1</w:t>
      </w:r>
      <w:r w:rsidRPr="00592AA5">
        <w:rPr>
          <w:rFonts w:ascii="Times New Roman" w:hAnsi="Times New Roman"/>
        </w:rPr>
        <w:t xml:space="preserve"> è stato partecipato e improntato al coinvolgimento, sia interno che esterno, di tutti i potenziali stakeholders con particolare attenzione all’ascolto e all’analisi dei bisogni in linea con una prassi ormai consolidata nella   </w:t>
      </w:r>
      <w:r w:rsidR="00E513FB">
        <w:rPr>
          <w:rFonts w:ascii="Times New Roman" w:hAnsi="Times New Roman"/>
        </w:rPr>
        <w:t xml:space="preserve">previsione </w:t>
      </w:r>
      <w:r w:rsidRPr="00592AA5">
        <w:rPr>
          <w:rFonts w:ascii="Times New Roman" w:hAnsi="Times New Roman"/>
        </w:rPr>
        <w:t>dei programmi di attività della Fondazione.</w:t>
      </w:r>
    </w:p>
    <w:p w:rsidR="00E3297B" w:rsidRPr="00E3297B" w:rsidRDefault="00E3297B" w:rsidP="00E3297B">
      <w:pPr>
        <w:rPr>
          <w:rFonts w:ascii="Times New Roman" w:hAnsi="Times New Roman"/>
        </w:rPr>
      </w:pPr>
    </w:p>
    <w:p w:rsidR="00062A25" w:rsidRPr="009B44E3" w:rsidRDefault="00062A25" w:rsidP="00963BB2">
      <w:pPr>
        <w:rPr>
          <w:rFonts w:ascii="Times New Roman" w:hAnsi="Times New Roman"/>
          <w:b/>
          <w:sz w:val="23"/>
          <w:szCs w:val="23"/>
          <w:u w:val="single"/>
        </w:rPr>
      </w:pPr>
    </w:p>
    <w:p w:rsidR="00675AD0" w:rsidRPr="009B44E3" w:rsidRDefault="00062A25" w:rsidP="00675AD0">
      <w:pPr>
        <w:pStyle w:val="Titolo5"/>
        <w:overflowPunct/>
        <w:autoSpaceDE/>
        <w:adjustRightInd/>
        <w:jc w:val="both"/>
        <w:rPr>
          <w:rFonts w:ascii="Times New Roman" w:eastAsia="Times New Roman" w:hAnsi="Times New Roman" w:cs="Times New Roman"/>
          <w:iCs/>
          <w:szCs w:val="24"/>
          <w:u w:val="single"/>
        </w:rPr>
      </w:pPr>
      <w:r w:rsidRPr="009B44E3">
        <w:rPr>
          <w:rFonts w:ascii="Times New Roman" w:eastAsia="Times New Roman" w:hAnsi="Times New Roman" w:cs="Times New Roman"/>
          <w:iCs/>
          <w:szCs w:val="24"/>
          <w:u w:val="single"/>
        </w:rPr>
        <w:t xml:space="preserve">Riferimenti normativi e statutari </w:t>
      </w:r>
    </w:p>
    <w:p w:rsidR="008853AA" w:rsidRPr="009B44E3" w:rsidRDefault="00B30B97" w:rsidP="0020502D">
      <w:pPr>
        <w:pStyle w:val="Delibera"/>
        <w:tabs>
          <w:tab w:val="clear" w:pos="567"/>
          <w:tab w:val="clear" w:pos="1134"/>
          <w:tab w:val="clear" w:pos="1418"/>
          <w:tab w:val="clear" w:pos="1701"/>
          <w:tab w:val="left" w:pos="5103"/>
          <w:tab w:val="left" w:pos="5670"/>
        </w:tabs>
        <w:spacing w:line="240" w:lineRule="auto"/>
        <w:ind w:right="-2"/>
        <w:textAlignment w:val="auto"/>
      </w:pPr>
      <w:r w:rsidRPr="009B44E3">
        <w:rPr>
          <w:iCs/>
          <w:szCs w:val="24"/>
        </w:rPr>
        <w:t>La Proposta di Documento Prog</w:t>
      </w:r>
      <w:r w:rsidR="008679A2" w:rsidRPr="009B44E3">
        <w:rPr>
          <w:iCs/>
          <w:szCs w:val="24"/>
        </w:rPr>
        <w:t>rammatico Previsionale anno 202</w:t>
      </w:r>
      <w:r w:rsidR="003669CB">
        <w:rPr>
          <w:iCs/>
          <w:szCs w:val="24"/>
        </w:rPr>
        <w:t>1</w:t>
      </w:r>
      <w:r w:rsidRPr="009B44E3">
        <w:rPr>
          <w:szCs w:val="24"/>
        </w:rPr>
        <w:t xml:space="preserve"> </w:t>
      </w:r>
      <w:r w:rsidR="002474E2" w:rsidRPr="009B44E3">
        <w:rPr>
          <w:iCs/>
          <w:szCs w:val="24"/>
        </w:rPr>
        <w:t>è elaborata</w:t>
      </w:r>
      <w:r w:rsidR="002B0AB4" w:rsidRPr="009B44E3">
        <w:rPr>
          <w:iCs/>
          <w:szCs w:val="24"/>
        </w:rPr>
        <w:t xml:space="preserve"> ai sensi dell’a</w:t>
      </w:r>
      <w:r w:rsidR="001203CC" w:rsidRPr="009B44E3">
        <w:rPr>
          <w:iCs/>
          <w:szCs w:val="24"/>
        </w:rPr>
        <w:t xml:space="preserve">rt. 21 </w:t>
      </w:r>
      <w:r w:rsidR="005403D0" w:rsidRPr="009B44E3">
        <w:rPr>
          <w:iCs/>
          <w:szCs w:val="24"/>
        </w:rPr>
        <w:t>comma 2 lett. d) dello statuto</w:t>
      </w:r>
      <w:r w:rsidR="002B0AB4" w:rsidRPr="009B44E3">
        <w:rPr>
          <w:iCs/>
          <w:szCs w:val="24"/>
        </w:rPr>
        <w:t xml:space="preserve"> </w:t>
      </w:r>
      <w:proofErr w:type="gramStart"/>
      <w:r w:rsidRPr="009B44E3">
        <w:rPr>
          <w:iCs/>
          <w:szCs w:val="24"/>
        </w:rPr>
        <w:t>e</w:t>
      </w:r>
      <w:r w:rsidR="008853AA" w:rsidRPr="009B44E3">
        <w:rPr>
          <w:iCs/>
          <w:szCs w:val="24"/>
        </w:rPr>
        <w:t xml:space="preserve"> </w:t>
      </w:r>
      <w:r w:rsidR="00BF6ED8">
        <w:rPr>
          <w:iCs/>
          <w:szCs w:val="24"/>
        </w:rPr>
        <w:t xml:space="preserve"> approvata</w:t>
      </w:r>
      <w:proofErr w:type="gramEnd"/>
      <w:r w:rsidR="00675AD0" w:rsidRPr="009B44E3">
        <w:rPr>
          <w:iCs/>
          <w:szCs w:val="24"/>
        </w:rPr>
        <w:t xml:space="preserve"> dal  Consiglio di Amministrazione </w:t>
      </w:r>
      <w:r w:rsidR="00D71DB5" w:rsidRPr="009B44E3">
        <w:rPr>
          <w:iCs/>
          <w:szCs w:val="24"/>
        </w:rPr>
        <w:t>della Fondazione</w:t>
      </w:r>
      <w:r w:rsidR="00D404A2" w:rsidRPr="009B44E3">
        <w:rPr>
          <w:iCs/>
          <w:szCs w:val="24"/>
        </w:rPr>
        <w:t xml:space="preserve"> entro il 30 settembre di ogni anno</w:t>
      </w:r>
      <w:r w:rsidR="00BF6ED8">
        <w:rPr>
          <w:iCs/>
          <w:szCs w:val="24"/>
        </w:rPr>
        <w:t xml:space="preserve">. La stessa viene </w:t>
      </w:r>
      <w:r w:rsidR="00C5714D" w:rsidRPr="009B44E3">
        <w:rPr>
          <w:iCs/>
          <w:szCs w:val="24"/>
        </w:rPr>
        <w:t xml:space="preserve"> </w:t>
      </w:r>
      <w:r w:rsidR="005403D0" w:rsidRPr="009B44E3">
        <w:rPr>
          <w:iCs/>
          <w:szCs w:val="24"/>
        </w:rPr>
        <w:t xml:space="preserve"> </w:t>
      </w:r>
      <w:r w:rsidR="00BF6ED8">
        <w:rPr>
          <w:iCs/>
          <w:szCs w:val="24"/>
        </w:rPr>
        <w:t>corredata</w:t>
      </w:r>
      <w:r w:rsidR="008853AA" w:rsidRPr="009B44E3">
        <w:rPr>
          <w:iCs/>
          <w:szCs w:val="24"/>
        </w:rPr>
        <w:t xml:space="preserve"> </w:t>
      </w:r>
      <w:r w:rsidR="007E3BF9" w:rsidRPr="009B44E3">
        <w:rPr>
          <w:iCs/>
          <w:szCs w:val="24"/>
        </w:rPr>
        <w:t>con la relazion</w:t>
      </w:r>
      <w:r w:rsidR="008853AA" w:rsidRPr="009B44E3">
        <w:rPr>
          <w:iCs/>
          <w:szCs w:val="24"/>
        </w:rPr>
        <w:t>e del Collegio dei Sindaci</w:t>
      </w:r>
      <w:r w:rsidR="00A9732C" w:rsidRPr="009B44E3">
        <w:rPr>
          <w:iCs/>
          <w:szCs w:val="24"/>
        </w:rPr>
        <w:t xml:space="preserve"> nel rispetto di quanto previsto all’art. 23 c.  8 dello </w:t>
      </w:r>
      <w:proofErr w:type="gramStart"/>
      <w:r w:rsidR="00A9732C" w:rsidRPr="009B44E3">
        <w:rPr>
          <w:iCs/>
          <w:szCs w:val="24"/>
        </w:rPr>
        <w:t xml:space="preserve">statuto, </w:t>
      </w:r>
      <w:r w:rsidR="00C5714D" w:rsidRPr="009B44E3">
        <w:rPr>
          <w:iCs/>
          <w:szCs w:val="24"/>
        </w:rPr>
        <w:t xml:space="preserve"> </w:t>
      </w:r>
      <w:r w:rsidR="00BF6ED8">
        <w:rPr>
          <w:iCs/>
          <w:szCs w:val="24"/>
        </w:rPr>
        <w:t xml:space="preserve"> </w:t>
      </w:r>
      <w:proofErr w:type="gramEnd"/>
      <w:r w:rsidR="00BF6ED8">
        <w:rPr>
          <w:iCs/>
          <w:szCs w:val="24"/>
        </w:rPr>
        <w:t>e</w:t>
      </w:r>
      <w:r w:rsidR="007E3BF9" w:rsidRPr="009B44E3">
        <w:rPr>
          <w:iCs/>
          <w:szCs w:val="24"/>
        </w:rPr>
        <w:t xml:space="preserve"> </w:t>
      </w:r>
      <w:r w:rsidR="008853AA" w:rsidRPr="009B44E3">
        <w:rPr>
          <w:iCs/>
          <w:szCs w:val="24"/>
        </w:rPr>
        <w:t xml:space="preserve"> </w:t>
      </w:r>
      <w:r w:rsidR="007E3BF9" w:rsidRPr="009B44E3">
        <w:rPr>
          <w:iCs/>
          <w:szCs w:val="24"/>
        </w:rPr>
        <w:t>sottop</w:t>
      </w:r>
      <w:r w:rsidR="008853AA" w:rsidRPr="009B44E3">
        <w:rPr>
          <w:iCs/>
          <w:szCs w:val="24"/>
        </w:rPr>
        <w:t>o</w:t>
      </w:r>
      <w:r w:rsidR="00BF6ED8">
        <w:rPr>
          <w:iCs/>
          <w:szCs w:val="24"/>
        </w:rPr>
        <w:t>sta</w:t>
      </w:r>
      <w:r w:rsidR="007E3BF9" w:rsidRPr="009B44E3">
        <w:rPr>
          <w:iCs/>
          <w:szCs w:val="24"/>
        </w:rPr>
        <w:t xml:space="preserve"> </w:t>
      </w:r>
      <w:r w:rsidR="008853AA" w:rsidRPr="009B44E3">
        <w:rPr>
          <w:iCs/>
          <w:szCs w:val="24"/>
        </w:rPr>
        <w:t xml:space="preserve">entro il 31 ottobre c.a. </w:t>
      </w:r>
      <w:r w:rsidR="007E3BF9" w:rsidRPr="009B44E3">
        <w:rPr>
          <w:iCs/>
          <w:szCs w:val="24"/>
        </w:rPr>
        <w:t xml:space="preserve">alle competenti </w:t>
      </w:r>
      <w:r w:rsidR="008853AA" w:rsidRPr="009B44E3">
        <w:rPr>
          <w:iCs/>
          <w:szCs w:val="24"/>
        </w:rPr>
        <w:t>determinazioni del Con</w:t>
      </w:r>
      <w:r w:rsidR="00A9732C" w:rsidRPr="009B44E3">
        <w:rPr>
          <w:iCs/>
          <w:szCs w:val="24"/>
        </w:rPr>
        <w:t xml:space="preserve">siglio di Indirizzo secondo </w:t>
      </w:r>
      <w:r w:rsidR="002F029F" w:rsidRPr="009B44E3">
        <w:rPr>
          <w:iCs/>
          <w:szCs w:val="24"/>
        </w:rPr>
        <w:t>quanto stabilito all’art. 17</w:t>
      </w:r>
      <w:r w:rsidR="008853AA" w:rsidRPr="009B44E3">
        <w:rPr>
          <w:iCs/>
          <w:szCs w:val="24"/>
        </w:rPr>
        <w:t xml:space="preserve"> comma 1 lett. h) dello statuto previa acquisizione del consueto parere </w:t>
      </w:r>
      <w:r w:rsidR="008853AA" w:rsidRPr="009B44E3">
        <w:rPr>
          <w:szCs w:val="24"/>
        </w:rPr>
        <w:t>consultivo dell’Assemblea dei Soci</w:t>
      </w:r>
      <w:r w:rsidR="002F029F" w:rsidRPr="009B44E3">
        <w:rPr>
          <w:szCs w:val="24"/>
        </w:rPr>
        <w:t>, ai sensi dell’art. 11</w:t>
      </w:r>
      <w:r w:rsidR="008853AA" w:rsidRPr="009B44E3">
        <w:rPr>
          <w:szCs w:val="24"/>
        </w:rPr>
        <w:t xml:space="preserve"> comma 1 lettera e)  dello statuto.</w:t>
      </w:r>
    </w:p>
    <w:p w:rsidR="00B30B97" w:rsidRPr="009B44E3" w:rsidRDefault="00B30B97" w:rsidP="00B30B97">
      <w:pPr>
        <w:pStyle w:val="Delibera"/>
        <w:tabs>
          <w:tab w:val="clear" w:pos="567"/>
          <w:tab w:val="clear" w:pos="1134"/>
          <w:tab w:val="clear" w:pos="1418"/>
          <w:tab w:val="clear" w:pos="1701"/>
          <w:tab w:val="left" w:pos="5103"/>
          <w:tab w:val="left" w:pos="5670"/>
        </w:tabs>
        <w:spacing w:line="240" w:lineRule="auto"/>
        <w:ind w:right="-2"/>
        <w:textAlignment w:val="auto"/>
      </w:pPr>
    </w:p>
    <w:p w:rsidR="00675AD0" w:rsidRPr="009B44E3" w:rsidRDefault="00A9732C" w:rsidP="00E9567F">
      <w:pPr>
        <w:rPr>
          <w:rFonts w:ascii="Times New Roman" w:hAnsi="Times New Roman"/>
          <w:szCs w:val="24"/>
        </w:rPr>
      </w:pPr>
      <w:r w:rsidRPr="009B44E3">
        <w:rPr>
          <w:rFonts w:ascii="Times New Roman" w:hAnsi="Times New Roman"/>
        </w:rPr>
        <w:t xml:space="preserve">Nella redazione della </w:t>
      </w:r>
      <w:r w:rsidR="005403D0" w:rsidRPr="009B44E3">
        <w:rPr>
          <w:rFonts w:ascii="Times New Roman" w:hAnsi="Times New Roman"/>
        </w:rPr>
        <w:t xml:space="preserve">presente </w:t>
      </w:r>
      <w:r w:rsidRPr="009B44E3">
        <w:rPr>
          <w:rFonts w:ascii="Times New Roman" w:hAnsi="Times New Roman"/>
        </w:rPr>
        <w:t xml:space="preserve">Proposta si è  </w:t>
      </w:r>
      <w:r w:rsidRPr="009B44E3">
        <w:rPr>
          <w:rFonts w:ascii="Times New Roman" w:hAnsi="Times New Roman"/>
          <w:szCs w:val="24"/>
        </w:rPr>
        <w:t>tenuto</w:t>
      </w:r>
      <w:r w:rsidR="00B30B97" w:rsidRPr="009B44E3">
        <w:rPr>
          <w:rFonts w:ascii="Times New Roman" w:hAnsi="Times New Roman"/>
          <w:szCs w:val="24"/>
        </w:rPr>
        <w:t xml:space="preserve">  conto del d</w:t>
      </w:r>
      <w:r w:rsidR="00675AD0" w:rsidRPr="009B44E3">
        <w:rPr>
          <w:rFonts w:ascii="Times New Roman" w:hAnsi="Times New Roman"/>
          <w:szCs w:val="24"/>
        </w:rPr>
        <w:t>ecreto del Ministro dell’Economia e delle Finanze del 18 maggio 2004 n. 150 recante: “Regolamento ai sensi dell’ art. 11 della legge 28 dicembre 2001,  n. 448, in materia di disc</w:t>
      </w:r>
      <w:r w:rsidR="00E9567F" w:rsidRPr="009B44E3">
        <w:rPr>
          <w:rFonts w:ascii="Times New Roman" w:hAnsi="Times New Roman"/>
          <w:szCs w:val="24"/>
        </w:rPr>
        <w:t xml:space="preserve">iplina di fondazioni bancarie”  Per il calcolo degli accantonamenti di legge </w:t>
      </w:r>
      <w:r w:rsidR="00C818D7" w:rsidRPr="009B44E3">
        <w:rPr>
          <w:rFonts w:ascii="Times New Roman" w:hAnsi="Times New Roman"/>
          <w:szCs w:val="24"/>
        </w:rPr>
        <w:t xml:space="preserve">si è </w:t>
      </w:r>
      <w:r w:rsidR="00E9567F" w:rsidRPr="009B44E3">
        <w:rPr>
          <w:rFonts w:ascii="Times New Roman" w:hAnsi="Times New Roman"/>
          <w:szCs w:val="24"/>
        </w:rPr>
        <w:t>tenuto conto di quanto stabilito dai precedenti decreti del  Direttore Generale del Dipartimento del Tesoro in materia  di ac</w:t>
      </w:r>
      <w:r w:rsidR="00C818D7" w:rsidRPr="009B44E3">
        <w:rPr>
          <w:rFonts w:ascii="Times New Roman" w:hAnsi="Times New Roman"/>
          <w:szCs w:val="24"/>
        </w:rPr>
        <w:t>cantonamenti patrimoniali e di</w:t>
      </w:r>
      <w:r w:rsidR="00E9567F" w:rsidRPr="009B44E3">
        <w:rPr>
          <w:rFonts w:ascii="Times New Roman" w:hAnsi="Times New Roman"/>
          <w:szCs w:val="24"/>
        </w:rPr>
        <w:t xml:space="preserve"> copertura dei disavanzi pregressi</w:t>
      </w:r>
      <w:r w:rsidR="00675AD0" w:rsidRPr="009B44E3">
        <w:rPr>
          <w:rFonts w:ascii="Times New Roman" w:hAnsi="Times New Roman"/>
          <w:szCs w:val="24"/>
        </w:rPr>
        <w:t>.</w:t>
      </w:r>
      <w:r w:rsidR="005403D0" w:rsidRPr="009B44E3">
        <w:rPr>
          <w:rFonts w:ascii="Times New Roman" w:hAnsi="Times New Roman"/>
          <w:szCs w:val="24"/>
        </w:rPr>
        <w:t xml:space="preserve"> </w:t>
      </w:r>
      <w:proofErr w:type="gramStart"/>
      <w:r w:rsidR="00675AD0" w:rsidRPr="009B44E3">
        <w:rPr>
          <w:rFonts w:ascii="Times New Roman" w:hAnsi="Times New Roman"/>
          <w:iCs/>
          <w:szCs w:val="24"/>
        </w:rPr>
        <w:t xml:space="preserve">La </w:t>
      </w:r>
      <w:r w:rsidR="005403D0" w:rsidRPr="009B44E3">
        <w:rPr>
          <w:rFonts w:ascii="Times New Roman" w:hAnsi="Times New Roman"/>
          <w:b/>
          <w:i/>
          <w:iCs/>
          <w:szCs w:val="24"/>
        </w:rPr>
        <w:t xml:space="preserve"> </w:t>
      </w:r>
      <w:r w:rsidR="005403D0" w:rsidRPr="009B44E3">
        <w:rPr>
          <w:rFonts w:ascii="Times New Roman" w:hAnsi="Times New Roman"/>
          <w:iCs/>
          <w:szCs w:val="24"/>
        </w:rPr>
        <w:t>stessa</w:t>
      </w:r>
      <w:proofErr w:type="gramEnd"/>
      <w:r w:rsidR="005403D0" w:rsidRPr="009B44E3">
        <w:rPr>
          <w:rFonts w:ascii="Times New Roman" w:hAnsi="Times New Roman"/>
          <w:b/>
          <w:i/>
          <w:iCs/>
          <w:szCs w:val="24"/>
        </w:rPr>
        <w:t xml:space="preserve"> </w:t>
      </w:r>
      <w:r w:rsidRPr="009B44E3">
        <w:rPr>
          <w:rFonts w:ascii="Times New Roman" w:hAnsi="Times New Roman"/>
          <w:iCs/>
          <w:szCs w:val="24"/>
        </w:rPr>
        <w:t xml:space="preserve">inoltre </w:t>
      </w:r>
      <w:r w:rsidR="00675AD0" w:rsidRPr="009B44E3">
        <w:rPr>
          <w:rFonts w:ascii="Times New Roman" w:hAnsi="Times New Roman"/>
          <w:iCs/>
          <w:szCs w:val="24"/>
        </w:rPr>
        <w:t xml:space="preserve"> è  rispettosa </w:t>
      </w:r>
      <w:r w:rsidR="00C270EF" w:rsidRPr="009B44E3">
        <w:rPr>
          <w:rFonts w:ascii="Times New Roman" w:hAnsi="Times New Roman"/>
          <w:iCs/>
          <w:szCs w:val="24"/>
        </w:rPr>
        <w:t>di quanto  stabilito all’art. 29</w:t>
      </w:r>
      <w:r w:rsidR="00675AD0" w:rsidRPr="009B44E3">
        <w:rPr>
          <w:rFonts w:ascii="Times New Roman" w:hAnsi="Times New Roman"/>
          <w:iCs/>
          <w:szCs w:val="24"/>
        </w:rPr>
        <w:t xml:space="preserve">  c.5 dello statuto  relativamente  alla individuazione dei  limiti sia  per le spese  di funzionamento che per  le spese  direttamente destinate al perseguimento delle finalità statutarie; è altresì osservante  di quanto  disposto all’art. 8, comma 1  del   D. Lgs. 153/1999 in tema di destinazione del reddito.</w:t>
      </w:r>
    </w:p>
    <w:p w:rsidR="00B8154D" w:rsidRPr="009B44E3" w:rsidRDefault="00B8154D" w:rsidP="00FE1D85">
      <w:pPr>
        <w:tabs>
          <w:tab w:val="left" w:pos="2127"/>
        </w:tabs>
        <w:rPr>
          <w:rFonts w:ascii="Times New Roman" w:hAnsi="Times New Roman"/>
          <w:iCs/>
          <w:szCs w:val="24"/>
        </w:rPr>
      </w:pPr>
    </w:p>
    <w:p w:rsidR="00675AD0" w:rsidRPr="009B44E3" w:rsidRDefault="00C5714D" w:rsidP="00FE1D85">
      <w:pPr>
        <w:tabs>
          <w:tab w:val="left" w:pos="2127"/>
        </w:tabs>
        <w:rPr>
          <w:rFonts w:ascii="Times New Roman" w:hAnsi="Times New Roman"/>
          <w:szCs w:val="24"/>
        </w:rPr>
      </w:pPr>
      <w:r w:rsidRPr="009B44E3">
        <w:rPr>
          <w:rFonts w:ascii="Times New Roman" w:hAnsi="Times New Roman"/>
          <w:iCs/>
          <w:szCs w:val="24"/>
        </w:rPr>
        <w:t xml:space="preserve">Per quanto riguarda </w:t>
      </w:r>
      <w:proofErr w:type="gramStart"/>
      <w:r w:rsidRPr="009B44E3">
        <w:rPr>
          <w:rFonts w:ascii="Times New Roman" w:hAnsi="Times New Roman"/>
          <w:iCs/>
          <w:szCs w:val="24"/>
        </w:rPr>
        <w:t>l’</w:t>
      </w:r>
      <w:r w:rsidR="00675AD0" w:rsidRPr="009B44E3">
        <w:rPr>
          <w:rFonts w:ascii="Times New Roman" w:hAnsi="Times New Roman"/>
          <w:iCs/>
          <w:szCs w:val="24"/>
        </w:rPr>
        <w:t xml:space="preserve"> individuazione</w:t>
      </w:r>
      <w:proofErr w:type="gramEnd"/>
      <w:r w:rsidR="00675AD0" w:rsidRPr="009B44E3">
        <w:rPr>
          <w:rFonts w:ascii="Times New Roman" w:hAnsi="Times New Roman"/>
          <w:iCs/>
          <w:szCs w:val="24"/>
        </w:rPr>
        <w:t xml:space="preserve"> dei  settori di intervento, le finalità da perseguire, le priorità, gli strumenti e  le linee generali </w:t>
      </w:r>
      <w:r w:rsidR="00D404A2" w:rsidRPr="009B44E3">
        <w:rPr>
          <w:rFonts w:ascii="Times New Roman" w:hAnsi="Times New Roman"/>
          <w:iCs/>
          <w:szCs w:val="24"/>
        </w:rPr>
        <w:t>de</w:t>
      </w:r>
      <w:r w:rsidR="00822C80" w:rsidRPr="009B44E3">
        <w:rPr>
          <w:rFonts w:ascii="Times New Roman" w:hAnsi="Times New Roman"/>
          <w:iCs/>
          <w:szCs w:val="24"/>
        </w:rPr>
        <w:t>lla gestione pa</w:t>
      </w:r>
      <w:r w:rsidR="00690225" w:rsidRPr="009B44E3">
        <w:rPr>
          <w:rFonts w:ascii="Times New Roman" w:hAnsi="Times New Roman"/>
          <w:iCs/>
          <w:szCs w:val="24"/>
        </w:rPr>
        <w:t xml:space="preserve">trimoniale si  tiene conto </w:t>
      </w:r>
      <w:r w:rsidR="00041223" w:rsidRPr="009B44E3">
        <w:rPr>
          <w:rFonts w:ascii="Times New Roman" w:hAnsi="Times New Roman"/>
          <w:iCs/>
          <w:szCs w:val="24"/>
        </w:rPr>
        <w:t>della Proposta  di</w:t>
      </w:r>
      <w:r w:rsidR="00A9732C" w:rsidRPr="009B44E3">
        <w:rPr>
          <w:rFonts w:ascii="Times New Roman" w:hAnsi="Times New Roman"/>
          <w:iCs/>
          <w:szCs w:val="24"/>
        </w:rPr>
        <w:t xml:space="preserve"> </w:t>
      </w:r>
      <w:r w:rsidR="001978E4">
        <w:rPr>
          <w:rFonts w:ascii="Times New Roman" w:hAnsi="Times New Roman"/>
          <w:iCs/>
          <w:szCs w:val="24"/>
        </w:rPr>
        <w:t xml:space="preserve">aggiornamento al </w:t>
      </w:r>
      <w:r w:rsidR="00675AD0" w:rsidRPr="009B44E3">
        <w:rPr>
          <w:rFonts w:ascii="Times New Roman" w:hAnsi="Times New Roman"/>
          <w:iCs/>
          <w:szCs w:val="24"/>
        </w:rPr>
        <w:t xml:space="preserve">Piano di </w:t>
      </w:r>
      <w:r w:rsidR="00822C80" w:rsidRPr="009B44E3">
        <w:rPr>
          <w:rFonts w:ascii="Times New Roman" w:hAnsi="Times New Roman"/>
          <w:iCs/>
          <w:szCs w:val="24"/>
        </w:rPr>
        <w:t xml:space="preserve"> Programmazione</w:t>
      </w:r>
      <w:r w:rsidR="00A9732C" w:rsidRPr="009B44E3">
        <w:rPr>
          <w:rFonts w:ascii="Times New Roman" w:hAnsi="Times New Roman"/>
          <w:iCs/>
          <w:szCs w:val="24"/>
        </w:rPr>
        <w:t xml:space="preserve"> Plurienna</w:t>
      </w:r>
      <w:r w:rsidR="00041223" w:rsidRPr="009B44E3">
        <w:rPr>
          <w:rFonts w:ascii="Times New Roman" w:hAnsi="Times New Roman"/>
          <w:iCs/>
          <w:szCs w:val="24"/>
        </w:rPr>
        <w:t>le 2019</w:t>
      </w:r>
      <w:r w:rsidR="001B1C75">
        <w:rPr>
          <w:rFonts w:ascii="Times New Roman" w:hAnsi="Times New Roman"/>
          <w:iCs/>
          <w:szCs w:val="24"/>
        </w:rPr>
        <w:t>-</w:t>
      </w:r>
      <w:r w:rsidR="00BF6ED8">
        <w:rPr>
          <w:rFonts w:ascii="Times New Roman" w:hAnsi="Times New Roman"/>
          <w:iCs/>
          <w:szCs w:val="24"/>
        </w:rPr>
        <w:t>2021 definita</w:t>
      </w:r>
      <w:r w:rsidR="00041223" w:rsidRPr="009B44E3">
        <w:rPr>
          <w:rFonts w:ascii="Times New Roman" w:hAnsi="Times New Roman"/>
          <w:iCs/>
          <w:szCs w:val="24"/>
        </w:rPr>
        <w:t xml:space="preserve"> </w:t>
      </w:r>
      <w:r w:rsidR="00A9732C" w:rsidRPr="009B44E3">
        <w:rPr>
          <w:rFonts w:ascii="Times New Roman" w:hAnsi="Times New Roman"/>
          <w:iCs/>
          <w:szCs w:val="24"/>
        </w:rPr>
        <w:t xml:space="preserve"> dal</w:t>
      </w:r>
      <w:r w:rsidR="00041223" w:rsidRPr="009B44E3">
        <w:rPr>
          <w:rFonts w:ascii="Times New Roman" w:hAnsi="Times New Roman"/>
          <w:iCs/>
          <w:szCs w:val="24"/>
        </w:rPr>
        <w:t xml:space="preserve">lo stesso </w:t>
      </w:r>
      <w:r w:rsidR="00675AD0" w:rsidRPr="009B44E3">
        <w:rPr>
          <w:rFonts w:ascii="Times New Roman" w:hAnsi="Times New Roman"/>
          <w:iCs/>
          <w:szCs w:val="24"/>
        </w:rPr>
        <w:t xml:space="preserve">  Consigli</w:t>
      </w:r>
      <w:r w:rsidR="00041223" w:rsidRPr="009B44E3">
        <w:rPr>
          <w:rFonts w:ascii="Times New Roman" w:hAnsi="Times New Roman"/>
          <w:iCs/>
          <w:szCs w:val="24"/>
        </w:rPr>
        <w:t>o in data odierna e in attesa della competente approvazione da p</w:t>
      </w:r>
      <w:r w:rsidR="008679A2" w:rsidRPr="009B44E3">
        <w:rPr>
          <w:rFonts w:ascii="Times New Roman" w:hAnsi="Times New Roman"/>
          <w:iCs/>
          <w:szCs w:val="24"/>
        </w:rPr>
        <w:t>arte del Consiglio di Indirizzo.</w:t>
      </w:r>
    </w:p>
    <w:p w:rsidR="005312E7" w:rsidRPr="009B44E3" w:rsidRDefault="005312E7" w:rsidP="005312E7">
      <w:pPr>
        <w:pStyle w:val="Titolo3"/>
        <w:rPr>
          <w:rFonts w:eastAsia="Times New Roman"/>
          <w:szCs w:val="24"/>
          <w:u w:val="single"/>
        </w:rPr>
      </w:pPr>
    </w:p>
    <w:p w:rsidR="005312E7" w:rsidRPr="009B44E3" w:rsidRDefault="005312E7" w:rsidP="005312E7">
      <w:pPr>
        <w:ind w:right="-1"/>
        <w:rPr>
          <w:rFonts w:ascii="Times New Roman" w:hAnsi="Times New Roman"/>
          <w:iCs/>
          <w:szCs w:val="24"/>
        </w:rPr>
      </w:pPr>
      <w:r w:rsidRPr="009B44E3">
        <w:rPr>
          <w:rFonts w:ascii="Times New Roman" w:hAnsi="Times New Roman"/>
          <w:iCs/>
          <w:szCs w:val="24"/>
        </w:rPr>
        <w:t xml:space="preserve">Per quanto attiene agli </w:t>
      </w:r>
      <w:proofErr w:type="gramStart"/>
      <w:r w:rsidRPr="009B44E3">
        <w:rPr>
          <w:rFonts w:ascii="Times New Roman" w:hAnsi="Times New Roman"/>
          <w:iCs/>
          <w:szCs w:val="24"/>
        </w:rPr>
        <w:t>aspetti  gestionali</w:t>
      </w:r>
      <w:proofErr w:type="gramEnd"/>
      <w:r w:rsidRPr="009B44E3">
        <w:rPr>
          <w:rFonts w:ascii="Times New Roman" w:hAnsi="Times New Roman"/>
          <w:iCs/>
          <w:szCs w:val="24"/>
        </w:rPr>
        <w:t xml:space="preserve"> degli investimenti </w:t>
      </w:r>
      <w:r w:rsidR="00BF6B53" w:rsidRPr="009B44E3">
        <w:rPr>
          <w:rFonts w:ascii="Times New Roman" w:hAnsi="Times New Roman"/>
          <w:iCs/>
          <w:szCs w:val="24"/>
        </w:rPr>
        <w:t xml:space="preserve"> e dell’</w:t>
      </w:r>
      <w:r w:rsidRPr="009B44E3">
        <w:rPr>
          <w:rFonts w:ascii="Times New Roman" w:hAnsi="Times New Roman"/>
          <w:iCs/>
          <w:szCs w:val="24"/>
        </w:rPr>
        <w:t>attività erogativa,  viene mantenuta l’impostazione prudenziale già assunta nei precedenti esercizi considerando  quale orizzonte temporale di  riferimento,  quello  del medio periodo sia rispetto alle valutazioni dell’attesa dei rendimenti  degli  investimenti  che nella previsione degli effetti di ricaduta dei benefici dei  propri interventi.</w:t>
      </w:r>
    </w:p>
    <w:p w:rsidR="005312E7" w:rsidRPr="009B44E3" w:rsidRDefault="005312E7" w:rsidP="005312E7">
      <w:pPr>
        <w:ind w:right="-1"/>
        <w:rPr>
          <w:rFonts w:ascii="Times New Roman" w:hAnsi="Times New Roman"/>
          <w:iCs/>
          <w:szCs w:val="24"/>
        </w:rPr>
      </w:pPr>
    </w:p>
    <w:p w:rsidR="000E412C" w:rsidRPr="009B44E3" w:rsidRDefault="000E412C" w:rsidP="005312E7">
      <w:pPr>
        <w:ind w:right="-1"/>
        <w:rPr>
          <w:rFonts w:ascii="Times New Roman" w:hAnsi="Times New Roman"/>
          <w:iCs/>
          <w:szCs w:val="24"/>
        </w:rPr>
      </w:pPr>
    </w:p>
    <w:p w:rsidR="000E412C" w:rsidRPr="00957A2D" w:rsidRDefault="000E412C" w:rsidP="005312E7">
      <w:pPr>
        <w:ind w:right="-1"/>
        <w:rPr>
          <w:rFonts w:ascii="Times New Roman" w:hAnsi="Times New Roman"/>
          <w:iCs/>
          <w:szCs w:val="24"/>
        </w:rPr>
      </w:pPr>
    </w:p>
    <w:p w:rsidR="008679A2" w:rsidRPr="001B1C75" w:rsidRDefault="008679A2" w:rsidP="005312E7">
      <w:pPr>
        <w:ind w:right="-1"/>
        <w:rPr>
          <w:rFonts w:ascii="Times New Roman" w:hAnsi="Times New Roman"/>
          <w:iCs/>
          <w:szCs w:val="24"/>
        </w:rPr>
      </w:pPr>
    </w:p>
    <w:p w:rsidR="009B44E3" w:rsidRPr="001B1C75" w:rsidRDefault="009B44E3" w:rsidP="005312E7">
      <w:pPr>
        <w:ind w:right="-1"/>
        <w:rPr>
          <w:rFonts w:ascii="Times New Roman" w:hAnsi="Times New Roman"/>
          <w:iCs/>
          <w:szCs w:val="24"/>
        </w:rPr>
      </w:pPr>
    </w:p>
    <w:p w:rsidR="001978E4" w:rsidRPr="001B1C75" w:rsidRDefault="001978E4" w:rsidP="005312E7">
      <w:pPr>
        <w:ind w:right="-1"/>
        <w:rPr>
          <w:rFonts w:ascii="Times New Roman" w:hAnsi="Times New Roman"/>
          <w:iCs/>
          <w:szCs w:val="24"/>
        </w:rPr>
      </w:pPr>
    </w:p>
    <w:p w:rsidR="00B31C06" w:rsidRPr="001B1C75" w:rsidRDefault="00BF6B53" w:rsidP="00BF6B53">
      <w:pPr>
        <w:rPr>
          <w:rStyle w:val="Enfasigrassetto"/>
          <w:rFonts w:ascii="Times New Roman" w:hAnsi="Times New Roman"/>
          <w:szCs w:val="24"/>
        </w:rPr>
      </w:pPr>
      <w:r w:rsidRPr="001B1C75">
        <w:rPr>
          <w:rStyle w:val="Enfasigrassetto"/>
          <w:rFonts w:ascii="Times New Roman" w:hAnsi="Times New Roman"/>
          <w:szCs w:val="24"/>
        </w:rPr>
        <w:t xml:space="preserve">Quadro macroeconomico </w:t>
      </w:r>
    </w:p>
    <w:p w:rsidR="001B1C75" w:rsidRPr="001B1C75" w:rsidRDefault="001B1C75" w:rsidP="001B1C75">
      <w:pPr>
        <w:pStyle w:val="Corpotesto"/>
        <w:rPr>
          <w:bCs/>
          <w:sz w:val="24"/>
        </w:rPr>
      </w:pPr>
      <w:proofErr w:type="gramStart"/>
      <w:r w:rsidRPr="001B1C75">
        <w:rPr>
          <w:sz w:val="24"/>
        </w:rPr>
        <w:t>Per  la</w:t>
      </w:r>
      <w:proofErr w:type="gramEnd"/>
      <w:r w:rsidRPr="001B1C75">
        <w:rPr>
          <w:sz w:val="24"/>
        </w:rPr>
        <w:t xml:space="preserve"> </w:t>
      </w:r>
      <w:proofErr w:type="spellStart"/>
      <w:r w:rsidRPr="001B1C75">
        <w:rPr>
          <w:sz w:val="24"/>
        </w:rPr>
        <w:t>valutazione</w:t>
      </w:r>
      <w:proofErr w:type="spellEnd"/>
      <w:r w:rsidRPr="001B1C75">
        <w:rPr>
          <w:sz w:val="24"/>
        </w:rPr>
        <w:t xml:space="preserve"> </w:t>
      </w:r>
      <w:proofErr w:type="spellStart"/>
      <w:r w:rsidRPr="001B1C75">
        <w:rPr>
          <w:sz w:val="24"/>
        </w:rPr>
        <w:t>degli</w:t>
      </w:r>
      <w:proofErr w:type="spellEnd"/>
      <w:r w:rsidRPr="001B1C75">
        <w:rPr>
          <w:sz w:val="24"/>
        </w:rPr>
        <w:t xml:space="preserve"> </w:t>
      </w:r>
      <w:proofErr w:type="spellStart"/>
      <w:r w:rsidRPr="001B1C75">
        <w:rPr>
          <w:sz w:val="24"/>
        </w:rPr>
        <w:t>elementi</w:t>
      </w:r>
      <w:proofErr w:type="spellEnd"/>
      <w:r w:rsidRPr="001B1C75">
        <w:rPr>
          <w:sz w:val="24"/>
        </w:rPr>
        <w:t xml:space="preserve"> di </w:t>
      </w:r>
      <w:proofErr w:type="spellStart"/>
      <w:r w:rsidRPr="001B1C75">
        <w:rPr>
          <w:sz w:val="24"/>
        </w:rPr>
        <w:t>natura</w:t>
      </w:r>
      <w:proofErr w:type="spellEnd"/>
      <w:r w:rsidRPr="001B1C75">
        <w:rPr>
          <w:sz w:val="24"/>
        </w:rPr>
        <w:t xml:space="preserve"> </w:t>
      </w:r>
      <w:proofErr w:type="spellStart"/>
      <w:r w:rsidRPr="001B1C75">
        <w:rPr>
          <w:sz w:val="24"/>
        </w:rPr>
        <w:t>macroeconomica</w:t>
      </w:r>
      <w:proofErr w:type="spellEnd"/>
      <w:r w:rsidRPr="001B1C75">
        <w:rPr>
          <w:sz w:val="24"/>
        </w:rPr>
        <w:t xml:space="preserve">  </w:t>
      </w:r>
      <w:proofErr w:type="spellStart"/>
      <w:r w:rsidRPr="001B1C75">
        <w:rPr>
          <w:sz w:val="24"/>
        </w:rPr>
        <w:t>necessari</w:t>
      </w:r>
      <w:proofErr w:type="spellEnd"/>
      <w:r w:rsidRPr="001B1C75">
        <w:rPr>
          <w:sz w:val="24"/>
        </w:rPr>
        <w:t xml:space="preserve"> per un </w:t>
      </w:r>
      <w:proofErr w:type="spellStart"/>
      <w:r w:rsidRPr="001B1C75">
        <w:rPr>
          <w:sz w:val="24"/>
        </w:rPr>
        <w:t>inquadramento</w:t>
      </w:r>
      <w:proofErr w:type="spellEnd"/>
      <w:r w:rsidRPr="001B1C75">
        <w:rPr>
          <w:sz w:val="24"/>
        </w:rPr>
        <w:t xml:space="preserve"> del </w:t>
      </w:r>
      <w:proofErr w:type="spellStart"/>
      <w:r w:rsidRPr="001B1C75">
        <w:rPr>
          <w:sz w:val="24"/>
        </w:rPr>
        <w:t>contesto</w:t>
      </w:r>
      <w:proofErr w:type="spellEnd"/>
      <w:r w:rsidRPr="001B1C75">
        <w:rPr>
          <w:sz w:val="24"/>
        </w:rPr>
        <w:t xml:space="preserve">  </w:t>
      </w:r>
      <w:proofErr w:type="spellStart"/>
      <w:r w:rsidRPr="001B1C75">
        <w:rPr>
          <w:sz w:val="24"/>
        </w:rPr>
        <w:t>generale</w:t>
      </w:r>
      <w:proofErr w:type="spellEnd"/>
      <w:r w:rsidRPr="001B1C75">
        <w:rPr>
          <w:sz w:val="24"/>
        </w:rPr>
        <w:t xml:space="preserve"> </w:t>
      </w:r>
      <w:proofErr w:type="spellStart"/>
      <w:r w:rsidRPr="001B1C75">
        <w:rPr>
          <w:sz w:val="24"/>
        </w:rPr>
        <w:t>entro</w:t>
      </w:r>
      <w:proofErr w:type="spellEnd"/>
      <w:r w:rsidRPr="001B1C75">
        <w:rPr>
          <w:sz w:val="24"/>
        </w:rPr>
        <w:t xml:space="preserve"> </w:t>
      </w:r>
      <w:proofErr w:type="spellStart"/>
      <w:r w:rsidRPr="001B1C75">
        <w:rPr>
          <w:sz w:val="24"/>
        </w:rPr>
        <w:t>il</w:t>
      </w:r>
      <w:proofErr w:type="spellEnd"/>
      <w:r w:rsidRPr="001B1C75">
        <w:rPr>
          <w:sz w:val="24"/>
        </w:rPr>
        <w:t xml:space="preserve"> quale  </w:t>
      </w:r>
      <w:proofErr w:type="spellStart"/>
      <w:r w:rsidRPr="001B1C75">
        <w:rPr>
          <w:sz w:val="24"/>
        </w:rPr>
        <w:t>viene</w:t>
      </w:r>
      <w:proofErr w:type="spellEnd"/>
      <w:r w:rsidRPr="001B1C75">
        <w:rPr>
          <w:sz w:val="24"/>
        </w:rPr>
        <w:t xml:space="preserve"> </w:t>
      </w:r>
      <w:proofErr w:type="spellStart"/>
      <w:r w:rsidRPr="001B1C75">
        <w:rPr>
          <w:sz w:val="24"/>
        </w:rPr>
        <w:t>formulato</w:t>
      </w:r>
      <w:proofErr w:type="spellEnd"/>
      <w:r w:rsidRPr="001B1C75">
        <w:rPr>
          <w:sz w:val="24"/>
        </w:rPr>
        <w:t xml:space="preserve"> </w:t>
      </w:r>
      <w:proofErr w:type="spellStart"/>
      <w:r w:rsidRPr="001B1C75">
        <w:rPr>
          <w:sz w:val="24"/>
        </w:rPr>
        <w:t>il</w:t>
      </w:r>
      <w:proofErr w:type="spellEnd"/>
      <w:r w:rsidRPr="001B1C75">
        <w:rPr>
          <w:sz w:val="24"/>
        </w:rPr>
        <w:t xml:space="preserve"> </w:t>
      </w:r>
      <w:proofErr w:type="spellStart"/>
      <w:r w:rsidRPr="001B1C75">
        <w:rPr>
          <w:sz w:val="24"/>
        </w:rPr>
        <w:t>presente</w:t>
      </w:r>
      <w:proofErr w:type="spellEnd"/>
      <w:r w:rsidRPr="001B1C75">
        <w:rPr>
          <w:sz w:val="24"/>
        </w:rPr>
        <w:t xml:space="preserve"> aggiornamento,  </w:t>
      </w:r>
      <w:proofErr w:type="spellStart"/>
      <w:r w:rsidRPr="001B1C75">
        <w:rPr>
          <w:sz w:val="24"/>
        </w:rPr>
        <w:t>si</w:t>
      </w:r>
      <w:proofErr w:type="spellEnd"/>
      <w:r w:rsidRPr="001B1C75">
        <w:rPr>
          <w:sz w:val="24"/>
        </w:rPr>
        <w:t xml:space="preserve"> è tenuto </w:t>
      </w:r>
      <w:proofErr w:type="spellStart"/>
      <w:r w:rsidRPr="001B1C75">
        <w:rPr>
          <w:sz w:val="24"/>
        </w:rPr>
        <w:t>conto</w:t>
      </w:r>
      <w:proofErr w:type="spellEnd"/>
      <w:r w:rsidRPr="001B1C75">
        <w:rPr>
          <w:sz w:val="24"/>
        </w:rPr>
        <w:t xml:space="preserve">  </w:t>
      </w:r>
      <w:proofErr w:type="spellStart"/>
      <w:r w:rsidRPr="001B1C75">
        <w:rPr>
          <w:sz w:val="24"/>
        </w:rPr>
        <w:t>delle</w:t>
      </w:r>
      <w:proofErr w:type="spellEnd"/>
      <w:r w:rsidRPr="001B1C75">
        <w:rPr>
          <w:sz w:val="24"/>
        </w:rPr>
        <w:t xml:space="preserve"> </w:t>
      </w:r>
      <w:proofErr w:type="spellStart"/>
      <w:r w:rsidRPr="001B1C75">
        <w:rPr>
          <w:sz w:val="24"/>
        </w:rPr>
        <w:t>proiezioni</w:t>
      </w:r>
      <w:proofErr w:type="spellEnd"/>
      <w:r w:rsidRPr="001B1C75">
        <w:rPr>
          <w:sz w:val="24"/>
        </w:rPr>
        <w:t xml:space="preserve">   </w:t>
      </w:r>
      <w:proofErr w:type="spellStart"/>
      <w:r w:rsidRPr="001B1C75">
        <w:rPr>
          <w:sz w:val="24"/>
        </w:rPr>
        <w:t>macroeconomiche</w:t>
      </w:r>
      <w:proofErr w:type="spellEnd"/>
      <w:r w:rsidRPr="001B1C75">
        <w:rPr>
          <w:sz w:val="24"/>
        </w:rPr>
        <w:t xml:space="preserve">  elaborate </w:t>
      </w:r>
      <w:proofErr w:type="spellStart"/>
      <w:r w:rsidRPr="001B1C75">
        <w:rPr>
          <w:sz w:val="24"/>
        </w:rPr>
        <w:t>dalle</w:t>
      </w:r>
      <w:proofErr w:type="spellEnd"/>
      <w:r w:rsidRPr="001B1C75">
        <w:rPr>
          <w:sz w:val="24"/>
        </w:rPr>
        <w:t xml:space="preserve"> </w:t>
      </w:r>
      <w:proofErr w:type="spellStart"/>
      <w:r w:rsidRPr="001B1C75">
        <w:rPr>
          <w:sz w:val="24"/>
        </w:rPr>
        <w:t>principali</w:t>
      </w:r>
      <w:proofErr w:type="spellEnd"/>
      <w:r w:rsidRPr="001B1C75">
        <w:rPr>
          <w:sz w:val="24"/>
        </w:rPr>
        <w:t xml:space="preserve"> </w:t>
      </w:r>
      <w:proofErr w:type="spellStart"/>
      <w:r w:rsidRPr="001B1C75">
        <w:rPr>
          <w:sz w:val="24"/>
        </w:rPr>
        <w:t>organizzazioni</w:t>
      </w:r>
      <w:proofErr w:type="spellEnd"/>
      <w:r w:rsidRPr="001B1C75">
        <w:rPr>
          <w:sz w:val="24"/>
        </w:rPr>
        <w:t xml:space="preserve"> </w:t>
      </w:r>
      <w:proofErr w:type="spellStart"/>
      <w:r w:rsidRPr="001B1C75">
        <w:rPr>
          <w:sz w:val="24"/>
        </w:rPr>
        <w:t>economico-finanziarie</w:t>
      </w:r>
      <w:proofErr w:type="spellEnd"/>
      <w:r w:rsidRPr="001B1C75">
        <w:rPr>
          <w:sz w:val="24"/>
        </w:rPr>
        <w:t xml:space="preserve"> </w:t>
      </w:r>
      <w:proofErr w:type="spellStart"/>
      <w:r w:rsidRPr="001B1C75">
        <w:rPr>
          <w:sz w:val="24"/>
        </w:rPr>
        <w:t>mondiali</w:t>
      </w:r>
      <w:proofErr w:type="spellEnd"/>
      <w:r w:rsidRPr="001B1C75">
        <w:rPr>
          <w:sz w:val="24"/>
        </w:rPr>
        <w:t xml:space="preserve">  per </w:t>
      </w:r>
      <w:proofErr w:type="spellStart"/>
      <w:r w:rsidRPr="001B1C75">
        <w:rPr>
          <w:sz w:val="24"/>
        </w:rPr>
        <w:t>l’anno</w:t>
      </w:r>
      <w:proofErr w:type="spellEnd"/>
      <w:r w:rsidRPr="001B1C75">
        <w:rPr>
          <w:sz w:val="24"/>
        </w:rPr>
        <w:t xml:space="preserve"> 2021.</w:t>
      </w:r>
    </w:p>
    <w:p w:rsidR="001B1C75" w:rsidRPr="001B1C75" w:rsidRDefault="001B1C75" w:rsidP="001B1C75">
      <w:pPr>
        <w:rPr>
          <w:rFonts w:ascii="Times New Roman" w:hAnsi="Times New Roman"/>
          <w:szCs w:val="24"/>
        </w:rPr>
      </w:pPr>
      <w:r w:rsidRPr="001B1C75">
        <w:rPr>
          <w:rFonts w:ascii="Times New Roman" w:hAnsi="Times New Roman"/>
          <w:szCs w:val="24"/>
        </w:rPr>
        <w:t xml:space="preserve">Le previsioni relative all’evoluzione dei mercati finanziari sono state desunte </w:t>
      </w:r>
      <w:proofErr w:type="gramStart"/>
      <w:r w:rsidRPr="001B1C75">
        <w:rPr>
          <w:rFonts w:ascii="Times New Roman" w:hAnsi="Times New Roman"/>
          <w:szCs w:val="24"/>
        </w:rPr>
        <w:t>dagli  Outlook</w:t>
      </w:r>
      <w:proofErr w:type="gramEnd"/>
      <w:r w:rsidRPr="001B1C75">
        <w:rPr>
          <w:rFonts w:ascii="Times New Roman" w:hAnsi="Times New Roman"/>
          <w:szCs w:val="24"/>
        </w:rPr>
        <w:t xml:space="preserve"> pubblicati da  vari  istituti e  primarie società finanziarie sia  italiane  che  estere </w:t>
      </w:r>
      <w:r w:rsidRPr="001B1C75">
        <w:rPr>
          <w:rFonts w:ascii="Times New Roman" w:hAnsi="Times New Roman"/>
          <w:bCs/>
          <w:szCs w:val="24"/>
        </w:rPr>
        <w:t xml:space="preserve">per gli scenari </w:t>
      </w:r>
      <w:r w:rsidRPr="001B1C75">
        <w:rPr>
          <w:rFonts w:ascii="Times New Roman" w:hAnsi="Times New Roman"/>
          <w:szCs w:val="24"/>
        </w:rPr>
        <w:t>2021.</w:t>
      </w:r>
    </w:p>
    <w:p w:rsidR="001B1C75" w:rsidRPr="001B1C75" w:rsidRDefault="001B1C75" w:rsidP="001B1C75">
      <w:pPr>
        <w:spacing w:after="75"/>
        <w:rPr>
          <w:rFonts w:ascii="Times New Roman" w:hAnsi="Times New Roman"/>
          <w:color w:val="000000"/>
          <w:szCs w:val="24"/>
        </w:rPr>
      </w:pPr>
    </w:p>
    <w:p w:rsidR="001B1C75" w:rsidRPr="001B1C75" w:rsidRDefault="001B1C75" w:rsidP="001B1C75">
      <w:pPr>
        <w:shd w:val="clear" w:color="auto" w:fill="FFFFFF"/>
        <w:spacing w:after="100" w:afterAutospacing="1"/>
        <w:rPr>
          <w:rFonts w:ascii="Times New Roman" w:hAnsi="Times New Roman"/>
          <w:szCs w:val="24"/>
        </w:rPr>
      </w:pPr>
      <w:r w:rsidRPr="001B1C75">
        <w:rPr>
          <w:rFonts w:ascii="Times New Roman" w:hAnsi="Times New Roman"/>
          <w:szCs w:val="24"/>
        </w:rPr>
        <w:t xml:space="preserve">La diffusione su scala globale del Covid-19 ha duramente colpito le economie sviluppate ed emergenti e le prospettive di ripresa per la seconda parte del </w:t>
      </w:r>
      <w:proofErr w:type="gramStart"/>
      <w:r w:rsidRPr="001B1C75">
        <w:rPr>
          <w:rFonts w:ascii="Times New Roman" w:hAnsi="Times New Roman"/>
          <w:szCs w:val="24"/>
        </w:rPr>
        <w:t>2020  sono</w:t>
      </w:r>
      <w:proofErr w:type="gramEnd"/>
      <w:r w:rsidRPr="001B1C75">
        <w:rPr>
          <w:rFonts w:ascii="Times New Roman" w:hAnsi="Times New Roman"/>
          <w:szCs w:val="24"/>
        </w:rPr>
        <w:t xml:space="preserve"> fortemente dipendenti dall’evoluzione dell’emergenza sanitaria e ciò accresce l’incertezza di fondo dello scenario.</w:t>
      </w:r>
    </w:p>
    <w:p w:rsidR="001B1C75" w:rsidRPr="001B1C75" w:rsidRDefault="001B1C75" w:rsidP="001B1C75">
      <w:pPr>
        <w:shd w:val="clear" w:color="auto" w:fill="FFFFFF"/>
        <w:spacing w:after="100" w:afterAutospacing="1"/>
        <w:rPr>
          <w:rFonts w:ascii="Times New Roman" w:hAnsi="Times New Roman"/>
          <w:szCs w:val="24"/>
        </w:rPr>
      </w:pPr>
      <w:r w:rsidRPr="001B1C75">
        <w:rPr>
          <w:rFonts w:ascii="Times New Roman" w:hAnsi="Times New Roman"/>
          <w:szCs w:val="24"/>
        </w:rPr>
        <w:t xml:space="preserve">Secondo alcune </w:t>
      </w:r>
      <w:proofErr w:type="gramStart"/>
      <w:r w:rsidRPr="001B1C75">
        <w:rPr>
          <w:rFonts w:ascii="Times New Roman" w:hAnsi="Times New Roman"/>
          <w:szCs w:val="24"/>
        </w:rPr>
        <w:t>stime  in</w:t>
      </w:r>
      <w:proofErr w:type="gramEnd"/>
      <w:r w:rsidRPr="001B1C75">
        <w:rPr>
          <w:rFonts w:ascii="Times New Roman" w:hAnsi="Times New Roman"/>
          <w:szCs w:val="24"/>
        </w:rPr>
        <w:t xml:space="preserve"> termini di ripercussioni economiche, rispetto alla stima di crescita per il 2020 effettuata a ottobre dello scorso anno (quindi in periodo </w:t>
      </w:r>
      <w:proofErr w:type="spellStart"/>
      <w:r w:rsidRPr="001B1C75">
        <w:rPr>
          <w:rFonts w:ascii="Times New Roman" w:hAnsi="Times New Roman"/>
          <w:szCs w:val="24"/>
        </w:rPr>
        <w:t>pre-Covid</w:t>
      </w:r>
      <w:proofErr w:type="spellEnd"/>
      <w:r w:rsidRPr="001B1C75">
        <w:rPr>
          <w:rFonts w:ascii="Times New Roman" w:hAnsi="Times New Roman"/>
          <w:szCs w:val="24"/>
        </w:rPr>
        <w:t xml:space="preserve">), che prevedeva un aumento del 3,4% per il 2020, il Pil mondiale sarebbe di 8,1 trilioni di dollari più basso. Di questi il 44% circa sarebbe dovuto alla mancata crescita di soli due paesi: Stati Uniti e Cina. Più in dettaglio, 2,6 trilioni di mancata crescita sarebbero dovuti al calo del Pil negli Stati Uniti (che a fine anno dovrebbe registrare un -8% secondo le ultime stime del FMI), e circa </w:t>
      </w:r>
      <w:r w:rsidR="00E513FB">
        <w:rPr>
          <w:rFonts w:ascii="Times New Roman" w:hAnsi="Times New Roman"/>
          <w:szCs w:val="24"/>
        </w:rPr>
        <w:t>1,0</w:t>
      </w:r>
      <w:r w:rsidRPr="001B1C75">
        <w:rPr>
          <w:rFonts w:ascii="Times New Roman" w:hAnsi="Times New Roman"/>
          <w:szCs w:val="24"/>
        </w:rPr>
        <w:t xml:space="preserve"> alla debolissima crescita cinese, che quest’anno non dovrebbe superare l’1%. </w:t>
      </w:r>
    </w:p>
    <w:p w:rsidR="001B1C75" w:rsidRPr="001B1C75" w:rsidRDefault="001B1C75" w:rsidP="001B1C75">
      <w:pPr>
        <w:pStyle w:val="NormaleWeb"/>
        <w:shd w:val="clear" w:color="auto" w:fill="FFFFFF"/>
        <w:spacing w:after="105"/>
        <w:jc w:val="both"/>
      </w:pPr>
      <w:r w:rsidRPr="001B1C75">
        <w:t>La contrazione degli scambi internazionali accentuata</w:t>
      </w:r>
      <w:r w:rsidR="00E513FB">
        <w:t>si</w:t>
      </w:r>
      <w:r w:rsidRPr="001B1C75">
        <w:t xml:space="preserve"> in aprile ha visto   </w:t>
      </w:r>
      <w:proofErr w:type="gramStart"/>
      <w:r w:rsidRPr="001B1C75">
        <w:t>poi  segnali</w:t>
      </w:r>
      <w:proofErr w:type="gramEnd"/>
      <w:r w:rsidRPr="001B1C75">
        <w:t xml:space="preserve"> di ripresa. Restano comunque significativi i rischi</w:t>
      </w:r>
      <w:r w:rsidR="00E513FB">
        <w:t xml:space="preserve"> tenuto conto </w:t>
      </w:r>
      <w:proofErr w:type="gramStart"/>
      <w:r w:rsidR="00E513FB">
        <w:t xml:space="preserve">che </w:t>
      </w:r>
      <w:r w:rsidRPr="001B1C75">
        <w:t xml:space="preserve"> da</w:t>
      </w:r>
      <w:proofErr w:type="gramEnd"/>
      <w:r w:rsidRPr="001B1C75">
        <w:t xml:space="preserve"> maggio l'epidemia si è nuovamente intensificata. </w:t>
      </w:r>
    </w:p>
    <w:p w:rsidR="001B1C75" w:rsidRPr="001B1C75" w:rsidRDefault="001B1C75" w:rsidP="001B1C75">
      <w:pPr>
        <w:pStyle w:val="NormaleWeb"/>
        <w:shd w:val="clear" w:color="auto" w:fill="FFFFFF"/>
        <w:spacing w:after="105"/>
        <w:jc w:val="both"/>
      </w:pPr>
      <w:r w:rsidRPr="001B1C75">
        <w:t>Le misure espansive</w:t>
      </w:r>
      <w:r w:rsidR="00E513FB">
        <w:t xml:space="preserve"> adottate dai governi delle principali economie </w:t>
      </w:r>
      <w:proofErr w:type="gramStart"/>
      <w:r w:rsidR="00E513FB">
        <w:t xml:space="preserve">mondiali </w:t>
      </w:r>
      <w:r w:rsidRPr="001B1C75">
        <w:t xml:space="preserve"> hanno</w:t>
      </w:r>
      <w:proofErr w:type="gramEnd"/>
      <w:r w:rsidRPr="001B1C75">
        <w:t xml:space="preserve"> favorito un rientro delle tensioni sui mercati finanziari, che rimangono tuttavia sensibili alle notizie sulla diffusione del contagio. Le politiche fiscali pro-cicliche, già utilizzate negli Stati Uniti, Giappone ed in Cina con il Coronavirus, sono </w:t>
      </w:r>
      <w:proofErr w:type="gramStart"/>
      <w:r w:rsidRPr="001B1C75">
        <w:t>state  introdotte</w:t>
      </w:r>
      <w:proofErr w:type="gramEnd"/>
      <w:r w:rsidRPr="001B1C75">
        <w:t xml:space="preserve">  anche in altre aree geografiche come l’Europa. Il quadro geopolitico appare </w:t>
      </w:r>
      <w:proofErr w:type="gramStart"/>
      <w:r w:rsidRPr="001B1C75">
        <w:t>ancora  instabile</w:t>
      </w:r>
      <w:proofErr w:type="gramEnd"/>
      <w:r w:rsidRPr="001B1C75">
        <w:t xml:space="preserve"> sia per la politica adottata dagli Stati Uniti nei confronti in particolare della Cina, sia per le incertezze politiche legate alle elezioni presidenziali, sia per i tanti focolai di tensione nei paesi produttori di materie prime. </w:t>
      </w:r>
    </w:p>
    <w:p w:rsidR="001B1C75" w:rsidRPr="001B1C75" w:rsidRDefault="001B1C75" w:rsidP="001B1C75">
      <w:pPr>
        <w:pStyle w:val="NormaleWeb"/>
        <w:shd w:val="clear" w:color="auto" w:fill="FFFFFF"/>
        <w:spacing w:after="165"/>
        <w:jc w:val="both"/>
      </w:pPr>
      <w:r w:rsidRPr="001B1C75">
        <w:br/>
        <w:t xml:space="preserve">Anche nella zona euro l'impatto della pandemia sull'attività economica è </w:t>
      </w:r>
      <w:proofErr w:type="gramStart"/>
      <w:r w:rsidRPr="001B1C75">
        <w:t>stato  considerevole</w:t>
      </w:r>
      <w:proofErr w:type="gramEnd"/>
      <w:r w:rsidRPr="001B1C75">
        <w:t xml:space="preserve"> nel primo trimestre del 2020. I dati successivi</w:t>
      </w:r>
      <w:r w:rsidR="00E513FB">
        <w:t>,</w:t>
      </w:r>
      <w:r w:rsidRPr="001B1C75">
        <w:t xml:space="preserve"> relativi ai mesi </w:t>
      </w:r>
      <w:proofErr w:type="gramStart"/>
      <w:r w:rsidRPr="001B1C75">
        <w:t>di  maggio</w:t>
      </w:r>
      <w:proofErr w:type="gramEnd"/>
      <w:r w:rsidRPr="001B1C75">
        <w:t xml:space="preserve"> e giugno mostrano un  miglioramento e si prevede che la ripresa acquisti vigore nella seconda metà dell'anno, pur rimanendo incompleta e disomogenea tra gli Stati membri.</w:t>
      </w:r>
      <w:r w:rsidR="00615C9F">
        <w:t xml:space="preserve"> </w:t>
      </w:r>
      <w:r w:rsidRPr="001B1C75">
        <w:t>Le </w:t>
      </w:r>
      <w:hyperlink r:id="rId8" w:history="1">
        <w:r w:rsidRPr="001B1C75">
          <w:rPr>
            <w:rStyle w:val="Collegamentoipertestuale"/>
            <w:rFonts w:ascii="Times New Roman" w:eastAsia="Arial Unicode MS" w:hAnsi="Times New Roman" w:cs="Times New Roman"/>
            <w:color w:val="auto"/>
          </w:rPr>
          <w:t>previsioni economiche di estate 2020</w:t>
        </w:r>
      </w:hyperlink>
      <w:r w:rsidR="00615C9F">
        <w:rPr>
          <w:rStyle w:val="Collegamentoipertestuale"/>
          <w:rFonts w:ascii="Times New Roman" w:eastAsia="Arial Unicode MS" w:hAnsi="Times New Roman" w:cs="Times New Roman"/>
          <w:color w:val="auto"/>
        </w:rPr>
        <w:t xml:space="preserve"> </w:t>
      </w:r>
      <w:r w:rsidRPr="001B1C75">
        <w:rPr>
          <w:rStyle w:val="Collegamentoipertestuale"/>
          <w:rFonts w:ascii="Times New Roman" w:eastAsia="Arial Unicode MS" w:hAnsi="Times New Roman" w:cs="Times New Roman"/>
          <w:color w:val="auto"/>
        </w:rPr>
        <w:t xml:space="preserve">prevedono </w:t>
      </w:r>
      <w:r w:rsidRPr="001B1C75">
        <w:t xml:space="preserve"> una contrazione dell'8,7 % nel 2020, per poi crescere del 6,1 % nel 2021, mentre l'economia dell'UE si contrarrà dell'8,3 % nel 2020, per crescere del 5,8 % nel 2021. </w:t>
      </w:r>
    </w:p>
    <w:p w:rsidR="001B1C75" w:rsidRPr="001B1C75" w:rsidRDefault="001B1C75" w:rsidP="001B1C75">
      <w:pPr>
        <w:pStyle w:val="NormaleWeb"/>
        <w:shd w:val="clear" w:color="auto" w:fill="FFFFFF"/>
        <w:spacing w:after="165"/>
        <w:jc w:val="both"/>
      </w:pPr>
      <w:r w:rsidRPr="001B1C75">
        <w:t>L'inflazione nella zona euro, misurata dall'indice armonizzato dei prezzi al consumo (IPCA), è attualmente stimata allo 0,3 % nel 2020 e all'1,1 % nel 2021. A livello UE le previsioni indicano un'inflazione allo 0,6 % nel 2020 e all'1,3 % nel 2021.</w:t>
      </w:r>
    </w:p>
    <w:p w:rsidR="00615C9F" w:rsidRDefault="001B1C75" w:rsidP="001B1C75">
      <w:pPr>
        <w:pStyle w:val="NormaleWeb"/>
        <w:shd w:val="clear" w:color="auto" w:fill="FFFFFF"/>
        <w:spacing w:after="165"/>
        <w:jc w:val="both"/>
      </w:pPr>
      <w:r w:rsidRPr="001B1C75">
        <w:t xml:space="preserve">Va sottolineato che i rischi che gravano sulle previsioni </w:t>
      </w:r>
      <w:proofErr w:type="gramStart"/>
      <w:r w:rsidRPr="001B1C75">
        <w:t>sono  molto</w:t>
      </w:r>
      <w:proofErr w:type="gramEnd"/>
      <w:r w:rsidRPr="001B1C75">
        <w:t xml:space="preserve"> elevati ed orientati in generale verso un peggioramento. E</w:t>
      </w:r>
      <w:proofErr w:type="gramStart"/>
      <w:r w:rsidRPr="001B1C75">
        <w:t>’  valutazione</w:t>
      </w:r>
      <w:proofErr w:type="gramEnd"/>
      <w:r w:rsidRPr="001B1C75">
        <w:t xml:space="preserve">  condivisa che il ritmo della ripresa nel 2021 sarà caratterizzato da notevoli differenze</w:t>
      </w:r>
      <w:r w:rsidR="00615C9F">
        <w:t xml:space="preserve"> </w:t>
      </w:r>
      <w:r w:rsidRPr="001B1C75">
        <w:t xml:space="preserve">a livello di entità dell'impatto della pandemia e di rapidità del recupero nei diversi Stati membri </w:t>
      </w:r>
      <w:r w:rsidR="00615C9F">
        <w:t>.</w:t>
      </w:r>
    </w:p>
    <w:p w:rsidR="001B1C75" w:rsidRPr="001B1C75" w:rsidRDefault="001B1C75" w:rsidP="001B1C75">
      <w:pPr>
        <w:pStyle w:val="NormaleWeb"/>
        <w:shd w:val="clear" w:color="auto" w:fill="FFFFFF"/>
        <w:spacing w:after="165"/>
        <w:jc w:val="both"/>
        <w:rPr>
          <w:rStyle w:val="Enfasigrassetto"/>
          <w:b w:val="0"/>
          <w:bCs w:val="0"/>
        </w:rPr>
      </w:pPr>
      <w:r w:rsidRPr="001B1C75">
        <w:lastRenderedPageBreak/>
        <w:t xml:space="preserve">Le misure di contenimento che potrebbero rivelarsi necessarie per contenere gli effetti della </w:t>
      </w:r>
      <w:proofErr w:type="gramStart"/>
      <w:r w:rsidRPr="001B1C75">
        <w:t>pandemia  con</w:t>
      </w:r>
      <w:proofErr w:type="gramEnd"/>
      <w:r w:rsidRPr="001B1C75">
        <w:t xml:space="preserve"> i relativi effetti restano ancora elementi indeterminati. Vi sono rischi concreti che il mercato del lavoro possa subire a lungo termine ripercussioni maggiori del previsto e che le difficoltà di liquidità possano tradursi in problemi di solvibilità per molte imprese. Vi sono inoltre rischi per la stabilità dei mercati finanziari ed esiste il pericolo che gli Stati membri non riescano a coordinare in misura sufficiente le risposte politiche nazionali. Anche l'eventuale mancata conclusione di un accordo sulle future relazioni commerciali tra il Regno Unito e l'UE potrebbe rallentare la crescita.</w:t>
      </w:r>
    </w:p>
    <w:p w:rsidR="001B1C75" w:rsidRPr="001B1C75" w:rsidRDefault="001B1C75" w:rsidP="001B1C75">
      <w:pPr>
        <w:pStyle w:val="NormaleWeb"/>
        <w:shd w:val="clear" w:color="auto" w:fill="FFFFFF"/>
        <w:spacing w:after="105"/>
        <w:jc w:val="both"/>
      </w:pPr>
      <w:r w:rsidRPr="001B1C75">
        <w:rPr>
          <w:bCs/>
        </w:rPr>
        <w:t xml:space="preserve">In Italia, </w:t>
      </w:r>
      <w:r w:rsidRPr="001B1C75">
        <w:t xml:space="preserve">dopo </w:t>
      </w:r>
      <w:proofErr w:type="gramStart"/>
      <w:r w:rsidRPr="001B1C75">
        <w:t>un  calo</w:t>
      </w:r>
      <w:proofErr w:type="gramEnd"/>
      <w:r w:rsidRPr="001B1C75">
        <w:t xml:space="preserve"> del prodotto che  si sarebbe intensificato nel secondo trimestre dove il prodotto interno lordo  è diminuito del 12,8% rispetto al trimestre precedente e del 17,7% nei confronti del secondo trimestre del 2019</w:t>
      </w:r>
      <w:r w:rsidRPr="001B1C75">
        <w:rPr>
          <w:bCs/>
        </w:rPr>
        <w:t>, sono emersi segnali di recupero</w:t>
      </w:r>
      <w:r w:rsidRPr="001B1C75">
        <w:t>.</w:t>
      </w:r>
    </w:p>
    <w:p w:rsidR="001B1C75" w:rsidRPr="001B1C75" w:rsidRDefault="001B1C75" w:rsidP="001B1C75">
      <w:pPr>
        <w:shd w:val="clear" w:color="auto" w:fill="FFFFFF"/>
        <w:spacing w:after="100" w:afterAutospacing="1"/>
        <w:rPr>
          <w:rFonts w:ascii="Times New Roman" w:hAnsi="Times New Roman"/>
          <w:szCs w:val="24"/>
        </w:rPr>
      </w:pPr>
      <w:r w:rsidRPr="001B1C75">
        <w:rPr>
          <w:rFonts w:ascii="Times New Roman" w:hAnsi="Times New Roman"/>
          <w:szCs w:val="24"/>
        </w:rPr>
        <w:t>La stima preliminare della variazione congiunturale del Pil diffusa dall’ISTAT il 31 luglio 2020 era stata del -12,4% mentre quella tendenziale del -17,3%.</w:t>
      </w:r>
    </w:p>
    <w:p w:rsidR="001B1C75" w:rsidRPr="001B1C75" w:rsidRDefault="001B1C75" w:rsidP="001B1C75">
      <w:pPr>
        <w:pStyle w:val="NormaleWeb"/>
        <w:shd w:val="clear" w:color="auto" w:fill="FFFFFF"/>
        <w:spacing w:after="105"/>
        <w:jc w:val="both"/>
      </w:pPr>
      <w:r w:rsidRPr="001B1C75">
        <w:rPr>
          <w:shd w:val="clear" w:color="auto" w:fill="FFFFFF"/>
        </w:rPr>
        <w:t xml:space="preserve">Si </w:t>
      </w:r>
      <w:proofErr w:type="gramStart"/>
      <w:r w:rsidRPr="001B1C75">
        <w:rPr>
          <w:shd w:val="clear" w:color="auto" w:fill="FFFFFF"/>
        </w:rPr>
        <w:t>registrano  andamenti</w:t>
      </w:r>
      <w:proofErr w:type="gramEnd"/>
      <w:r w:rsidRPr="001B1C75">
        <w:rPr>
          <w:shd w:val="clear" w:color="auto" w:fill="FFFFFF"/>
        </w:rPr>
        <w:t xml:space="preserve"> congiunturali negativi per il valore aggiunto in tutti i principali comparti produttivi, con agricoltura, industria e servizi diminuiti, rispettivamente, del 3,7%, del 20,2% e dell’11%.</w:t>
      </w:r>
    </w:p>
    <w:p w:rsidR="001B1C75" w:rsidRPr="00A23982" w:rsidRDefault="001B1C75" w:rsidP="001B1C75">
      <w:pPr>
        <w:pStyle w:val="NormaleWeb"/>
        <w:shd w:val="clear" w:color="auto" w:fill="FFFFFF"/>
        <w:spacing w:after="105"/>
        <w:jc w:val="both"/>
      </w:pPr>
      <w:r w:rsidRPr="001B1C75">
        <w:t>Le misure adottate dalla Bce e dal Governo hanno sostenuto il credito alle imprese. La crescita dei prestiti alle società non finanziarie in maggio ha raggiunto l'11,5 per cento (in ragione d'anno sui tre mesi). L’espansione del credito si è estesa alle imprese familiari con la progressiva riduzione dei ritardi nell'implementazione delle misure adottate dal Governo</w:t>
      </w:r>
      <w:r w:rsidRPr="00A23982">
        <w:t>.</w:t>
      </w:r>
    </w:p>
    <w:p w:rsidR="001B1C75" w:rsidRPr="00A23982" w:rsidRDefault="001B1C75" w:rsidP="001B1C75">
      <w:pPr>
        <w:pStyle w:val="NormaleWeb"/>
        <w:shd w:val="clear" w:color="auto" w:fill="FFFFFF"/>
        <w:spacing w:after="105"/>
        <w:jc w:val="both"/>
      </w:pPr>
    </w:p>
    <w:p w:rsidR="003669CB" w:rsidRPr="003669CB" w:rsidRDefault="003669CB" w:rsidP="00BF6B53">
      <w:pPr>
        <w:rPr>
          <w:rStyle w:val="Enfasigrassetto"/>
          <w:rFonts w:ascii="Times New Roman" w:hAnsi="Times New Roman"/>
        </w:rPr>
      </w:pPr>
    </w:p>
    <w:p w:rsidR="002B2ED7" w:rsidRPr="003669CB" w:rsidRDefault="00BF6B53" w:rsidP="00B67B81">
      <w:pPr>
        <w:rPr>
          <w:rStyle w:val="Enfasigrassetto"/>
          <w:rFonts w:ascii="Times New Roman" w:hAnsi="Times New Roman"/>
        </w:rPr>
      </w:pPr>
      <w:r w:rsidRPr="003669CB">
        <w:rPr>
          <w:rStyle w:val="Enfasigrassetto"/>
          <w:rFonts w:ascii="Times New Roman" w:hAnsi="Times New Roman"/>
        </w:rPr>
        <w:t>Mercati finanziari</w:t>
      </w:r>
    </w:p>
    <w:p w:rsidR="003669CB" w:rsidRPr="003669CB" w:rsidRDefault="003669CB" w:rsidP="003669CB">
      <w:pPr>
        <w:rPr>
          <w:rFonts w:ascii="Times New Roman" w:hAnsi="Times New Roman"/>
        </w:rPr>
      </w:pPr>
      <w:r w:rsidRPr="003669CB">
        <w:rPr>
          <w:rFonts w:ascii="Times New Roman" w:hAnsi="Times New Roman"/>
        </w:rPr>
        <w:t>Le opportunità di investimento per l’anno solare 2021 dipenderanno fortemente da come i mercati finanziari chiuderanno il 2020 e da quali saranno le evoluzioni della pandemia globale e della disponibilità di un vaccino.</w:t>
      </w:r>
    </w:p>
    <w:p w:rsidR="003669CB" w:rsidRPr="003669CB" w:rsidRDefault="003669CB" w:rsidP="003669CB">
      <w:pPr>
        <w:rPr>
          <w:rFonts w:ascii="Times New Roman" w:hAnsi="Times New Roman"/>
        </w:rPr>
      </w:pPr>
      <w:proofErr w:type="gramStart"/>
      <w:r w:rsidRPr="003669CB">
        <w:rPr>
          <w:rFonts w:ascii="Times New Roman" w:hAnsi="Times New Roman"/>
        </w:rPr>
        <w:t>Nella  prospettiva</w:t>
      </w:r>
      <w:proofErr w:type="gramEnd"/>
      <w:r w:rsidRPr="003669CB">
        <w:rPr>
          <w:rFonts w:ascii="Times New Roman" w:hAnsi="Times New Roman"/>
        </w:rPr>
        <w:t xml:space="preserve"> che la volatilità, attesa in rialzo nei prossimi mesi, in primo luogo in vista delle elezioni americane, non si concretizzi in chiusure d’anno significativamente diverse dai valori attuali è possibile sviluppare le seguenti considerazioni.</w:t>
      </w:r>
    </w:p>
    <w:p w:rsidR="003669CB" w:rsidRPr="003669CB" w:rsidRDefault="003669CB" w:rsidP="003669CB">
      <w:pPr>
        <w:rPr>
          <w:rFonts w:ascii="Times New Roman" w:hAnsi="Times New Roman"/>
        </w:rPr>
      </w:pPr>
      <w:r w:rsidRPr="003669CB">
        <w:rPr>
          <w:rFonts w:ascii="Times New Roman" w:hAnsi="Times New Roman"/>
        </w:rPr>
        <w:t>Il comparto delle obbligazioni governative non offre un binomio rischio-rendimento attraente nonostante il sicuro supporto delle banche centrali. La sua funzione di diversificazione e protezione del portafoglio è inoltre messa in discussione, con tassi vicini allo zero anche sul versante americano. Rimangono in relativo più interessanti le versioni indicizzate all’inflazione, che proteggono da un rischio attualmente poco prezzato dal mercato.</w:t>
      </w:r>
    </w:p>
    <w:p w:rsidR="003669CB" w:rsidRPr="003669CB" w:rsidRDefault="003669CB" w:rsidP="003669CB">
      <w:pPr>
        <w:rPr>
          <w:rFonts w:ascii="Times New Roman" w:hAnsi="Times New Roman"/>
        </w:rPr>
      </w:pPr>
      <w:r w:rsidRPr="003669CB">
        <w:rPr>
          <w:rFonts w:ascii="Times New Roman" w:hAnsi="Times New Roman"/>
        </w:rPr>
        <w:t>Le obbligazioni societarie di maggior merito creditizio presentano rendimenti limitati dopo il forte recupero. Anche qui, grazie al supporto delle banche centrali non soffrono per ora gli incrementi di volatilità, ma non paiono certamente in grado di dare un contributo diverso dall’impiego della liquidità. Maggiori rendimenti attesi hanno certamente le versioni a più basso merito creditizio che però, in un contesto di massima incertezza, devono rimanere in quote non elevate, concentrate su prodotti diversificati e su comparti supportati dagli enti pubblici come quello bancario. L’incremento atteso dei tassi di insolvenza del comparto societario ad alto rendimento rimane uno dei rischi da evitare per i prossimi mesi.</w:t>
      </w:r>
    </w:p>
    <w:p w:rsidR="003669CB" w:rsidRPr="003669CB" w:rsidRDefault="003669CB" w:rsidP="003669CB">
      <w:pPr>
        <w:rPr>
          <w:rFonts w:ascii="Times New Roman" w:hAnsi="Times New Roman"/>
        </w:rPr>
      </w:pPr>
      <w:r w:rsidRPr="003669CB">
        <w:rPr>
          <w:rFonts w:ascii="Times New Roman" w:hAnsi="Times New Roman"/>
        </w:rPr>
        <w:t>Le residue opportunità per la generazione di rendimento cedolare con livelli di rischio sotto controllo, risiedono al momento nell’area asiatica, dove la ripresa dalla pandemia è iniziata prima e sembra poter godere di maggiore solidità.</w:t>
      </w:r>
    </w:p>
    <w:p w:rsidR="003669CB" w:rsidRPr="003669CB" w:rsidRDefault="003669CB" w:rsidP="003669CB">
      <w:pPr>
        <w:rPr>
          <w:rFonts w:ascii="Times New Roman" w:hAnsi="Times New Roman"/>
        </w:rPr>
      </w:pPr>
      <w:r w:rsidRPr="003669CB">
        <w:rPr>
          <w:rFonts w:ascii="Times New Roman" w:hAnsi="Times New Roman"/>
        </w:rPr>
        <w:t xml:space="preserve">Le prospettive dei mercati azionari sono quanto mai incerte, ma i modelli di medio periodo li valutano ancora convenienti in relativo rispetto alle obbligazioni. Una previsione sulla dinamica </w:t>
      </w:r>
      <w:r w:rsidRPr="003669CB">
        <w:rPr>
          <w:rFonts w:ascii="Times New Roman" w:hAnsi="Times New Roman"/>
        </w:rPr>
        <w:lastRenderedPageBreak/>
        <w:t xml:space="preserve">di breve è quanto mai complessa e potrà essere più affidabile solo dopo l’esito delle elezioni americane e se un vaccino sarà effettivamente disponibile. </w:t>
      </w:r>
    </w:p>
    <w:p w:rsidR="00B67B81" w:rsidRDefault="00B67B81" w:rsidP="00B67B81">
      <w:pPr>
        <w:rPr>
          <w:rFonts w:ascii="Times New Roman" w:hAnsi="Times New Roman"/>
          <w:b/>
          <w:bCs/>
        </w:rPr>
      </w:pPr>
    </w:p>
    <w:p w:rsidR="003669CB" w:rsidRPr="00B67B81" w:rsidRDefault="003669CB" w:rsidP="00B67B81">
      <w:pPr>
        <w:rPr>
          <w:rFonts w:ascii="Times New Roman" w:hAnsi="Times New Roman"/>
          <w:b/>
          <w:bCs/>
        </w:rPr>
      </w:pPr>
    </w:p>
    <w:p w:rsidR="00F6106D" w:rsidRPr="00957A2D" w:rsidRDefault="009D0F3E" w:rsidP="00A24EAF">
      <w:pPr>
        <w:pStyle w:val="Pidipagina"/>
        <w:tabs>
          <w:tab w:val="left" w:pos="708"/>
        </w:tabs>
        <w:jc w:val="both"/>
        <w:rPr>
          <w:b/>
          <w:bCs/>
          <w:sz w:val="24"/>
          <w:szCs w:val="24"/>
          <w:u w:val="single"/>
        </w:rPr>
      </w:pPr>
      <w:r w:rsidRPr="00957A2D">
        <w:rPr>
          <w:b/>
          <w:bCs/>
          <w:sz w:val="24"/>
          <w:szCs w:val="24"/>
          <w:u w:val="single"/>
        </w:rPr>
        <w:t xml:space="preserve">Considerazioni preliminari </w:t>
      </w:r>
    </w:p>
    <w:p w:rsidR="009D0F3E" w:rsidRPr="00957A2D" w:rsidRDefault="00B7446F" w:rsidP="009D0F3E">
      <w:pPr>
        <w:rPr>
          <w:rFonts w:ascii="Times New Roman" w:hAnsi="Times New Roman"/>
          <w:szCs w:val="24"/>
        </w:rPr>
      </w:pPr>
      <w:r w:rsidRPr="00957A2D">
        <w:rPr>
          <w:rFonts w:ascii="Times New Roman" w:hAnsi="Times New Roman"/>
          <w:szCs w:val="24"/>
        </w:rPr>
        <w:t>N</w:t>
      </w:r>
      <w:r w:rsidR="00B27766">
        <w:rPr>
          <w:rFonts w:ascii="Times New Roman" w:hAnsi="Times New Roman"/>
          <w:szCs w:val="24"/>
        </w:rPr>
        <w:t>el Piano di Programmazione Pluriennale</w:t>
      </w:r>
      <w:r w:rsidR="00CE6C24" w:rsidRPr="00957A2D">
        <w:rPr>
          <w:rFonts w:ascii="Times New Roman" w:hAnsi="Times New Roman"/>
          <w:szCs w:val="24"/>
        </w:rPr>
        <w:t xml:space="preserve"> 2019</w:t>
      </w:r>
      <w:r w:rsidR="001B1C75">
        <w:rPr>
          <w:rFonts w:ascii="Times New Roman" w:hAnsi="Times New Roman"/>
          <w:szCs w:val="24"/>
        </w:rPr>
        <w:t>-</w:t>
      </w:r>
      <w:r w:rsidR="009D0F3E" w:rsidRPr="00957A2D">
        <w:rPr>
          <w:rFonts w:ascii="Times New Roman" w:hAnsi="Times New Roman"/>
          <w:szCs w:val="24"/>
        </w:rPr>
        <w:t>2021</w:t>
      </w:r>
      <w:r w:rsidR="00B27766">
        <w:rPr>
          <w:rFonts w:ascii="Times New Roman" w:hAnsi="Times New Roman"/>
          <w:szCs w:val="24"/>
        </w:rPr>
        <w:t xml:space="preserve"> ed alla relativa Nota di aggiornamento per </w:t>
      </w:r>
      <w:r w:rsidR="009647D1">
        <w:rPr>
          <w:rFonts w:ascii="Times New Roman" w:hAnsi="Times New Roman"/>
          <w:szCs w:val="24"/>
        </w:rPr>
        <w:t xml:space="preserve">l’anno </w:t>
      </w:r>
      <w:r w:rsidR="00B27766">
        <w:rPr>
          <w:rFonts w:ascii="Times New Roman" w:hAnsi="Times New Roman"/>
          <w:szCs w:val="24"/>
        </w:rPr>
        <w:t xml:space="preserve">2021 </w:t>
      </w:r>
      <w:r w:rsidRPr="00957A2D">
        <w:rPr>
          <w:rFonts w:ascii="Times New Roman" w:hAnsi="Times New Roman"/>
          <w:szCs w:val="24"/>
        </w:rPr>
        <w:t xml:space="preserve">  </w:t>
      </w:r>
      <w:r w:rsidR="009D0F3E" w:rsidRPr="00957A2D">
        <w:rPr>
          <w:rFonts w:ascii="Times New Roman" w:hAnsi="Times New Roman"/>
          <w:szCs w:val="24"/>
        </w:rPr>
        <w:t>sono stati definiti gli obiettivi strategici sia in termini di attività che di risorse connesse agli indirizzi assunti in te</w:t>
      </w:r>
      <w:r w:rsidRPr="00957A2D">
        <w:rPr>
          <w:rFonts w:ascii="Times New Roman" w:hAnsi="Times New Roman"/>
          <w:szCs w:val="24"/>
        </w:rPr>
        <w:t>ma di   gestione del patrimonio ed a questi il presente Documento si ispira.</w:t>
      </w:r>
    </w:p>
    <w:p w:rsidR="00B7446F" w:rsidRPr="00957A2D" w:rsidRDefault="00B7446F" w:rsidP="009D0F3E">
      <w:pPr>
        <w:rPr>
          <w:rFonts w:ascii="Times New Roman" w:hAnsi="Times New Roman"/>
          <w:b/>
          <w:szCs w:val="24"/>
        </w:rPr>
      </w:pPr>
    </w:p>
    <w:p w:rsidR="00B7446F" w:rsidRPr="00957A2D" w:rsidRDefault="00B27766" w:rsidP="00B7446F">
      <w:pPr>
        <w:rPr>
          <w:rFonts w:ascii="Times New Roman" w:hAnsi="Times New Roman"/>
        </w:rPr>
      </w:pPr>
      <w:r>
        <w:rPr>
          <w:rFonts w:ascii="Times New Roman" w:hAnsi="Times New Roman"/>
        </w:rPr>
        <w:t xml:space="preserve">Il </w:t>
      </w:r>
      <w:proofErr w:type="gramStart"/>
      <w:r>
        <w:rPr>
          <w:rFonts w:ascii="Times New Roman" w:hAnsi="Times New Roman"/>
        </w:rPr>
        <w:t xml:space="preserve">Piano </w:t>
      </w:r>
      <w:r w:rsidR="00B7446F" w:rsidRPr="00957A2D">
        <w:rPr>
          <w:rFonts w:ascii="Times New Roman" w:hAnsi="Times New Roman"/>
        </w:rPr>
        <w:t xml:space="preserve"> stabilisce</w:t>
      </w:r>
      <w:proofErr w:type="gramEnd"/>
      <w:r w:rsidR="00B7446F" w:rsidRPr="00957A2D">
        <w:rPr>
          <w:rFonts w:ascii="Times New Roman" w:hAnsi="Times New Roman"/>
        </w:rPr>
        <w:t xml:space="preserve">  che  l’ammontare delle risorse destinate all’attività erogativa viene   determinato per ciascun anno   sulla base del reddito prodotto dall’esercizio precedente. </w:t>
      </w:r>
    </w:p>
    <w:p w:rsidR="00B7446F" w:rsidRPr="00957A2D" w:rsidRDefault="00B7446F" w:rsidP="009D0F3E">
      <w:pPr>
        <w:rPr>
          <w:rFonts w:ascii="Times New Roman" w:hAnsi="Times New Roman"/>
          <w:b/>
          <w:szCs w:val="24"/>
        </w:rPr>
      </w:pPr>
    </w:p>
    <w:p w:rsidR="009D0F3E" w:rsidRPr="00957A2D" w:rsidRDefault="009D3613" w:rsidP="009D0F3E">
      <w:pPr>
        <w:rPr>
          <w:rFonts w:ascii="Times New Roman" w:hAnsi="Times New Roman"/>
          <w:szCs w:val="24"/>
        </w:rPr>
      </w:pPr>
      <w:r w:rsidRPr="00957A2D">
        <w:rPr>
          <w:rFonts w:ascii="Times New Roman" w:hAnsi="Times New Roman"/>
          <w:szCs w:val="24"/>
        </w:rPr>
        <w:t>Per l’esercizio 20</w:t>
      </w:r>
      <w:r w:rsidR="00382492">
        <w:rPr>
          <w:rFonts w:ascii="Times New Roman" w:hAnsi="Times New Roman"/>
          <w:szCs w:val="24"/>
        </w:rPr>
        <w:t>20</w:t>
      </w:r>
      <w:r w:rsidR="009D0F3E" w:rsidRPr="00957A2D">
        <w:rPr>
          <w:rFonts w:ascii="Times New Roman" w:hAnsi="Times New Roman"/>
          <w:szCs w:val="24"/>
        </w:rPr>
        <w:t xml:space="preserve">, considerato </w:t>
      </w:r>
      <w:proofErr w:type="gramStart"/>
      <w:r w:rsidR="009D0F3E" w:rsidRPr="00957A2D">
        <w:rPr>
          <w:rFonts w:ascii="Times New Roman" w:hAnsi="Times New Roman"/>
          <w:szCs w:val="24"/>
        </w:rPr>
        <w:t>l’andamento  economico</w:t>
      </w:r>
      <w:proofErr w:type="gramEnd"/>
      <w:r w:rsidR="009D0F3E" w:rsidRPr="00957A2D">
        <w:rPr>
          <w:rFonts w:ascii="Times New Roman" w:hAnsi="Times New Roman"/>
          <w:szCs w:val="24"/>
        </w:rPr>
        <w:t xml:space="preserve"> dei primi 8 mesi e la   proiezio</w:t>
      </w:r>
      <w:r w:rsidR="00F6106D" w:rsidRPr="00957A2D">
        <w:rPr>
          <w:rFonts w:ascii="Times New Roman" w:hAnsi="Times New Roman"/>
          <w:szCs w:val="24"/>
        </w:rPr>
        <w:t>ne dei conti  a fine esercizio, u</w:t>
      </w:r>
      <w:r w:rsidRPr="00957A2D">
        <w:rPr>
          <w:rFonts w:ascii="Times New Roman" w:hAnsi="Times New Roman"/>
          <w:szCs w:val="24"/>
        </w:rPr>
        <w:t>n   prudente apprezzamento del</w:t>
      </w:r>
      <w:r w:rsidR="00630057" w:rsidRPr="00957A2D">
        <w:rPr>
          <w:rFonts w:ascii="Times New Roman" w:hAnsi="Times New Roman"/>
          <w:szCs w:val="24"/>
        </w:rPr>
        <w:t xml:space="preserve"> reddito prodotto</w:t>
      </w:r>
      <w:r w:rsidR="00F445B8" w:rsidRPr="00957A2D">
        <w:rPr>
          <w:rFonts w:ascii="Times New Roman" w:hAnsi="Times New Roman"/>
          <w:szCs w:val="24"/>
        </w:rPr>
        <w:t xml:space="preserve"> </w:t>
      </w:r>
      <w:r w:rsidR="00630057" w:rsidRPr="00957A2D">
        <w:rPr>
          <w:rFonts w:ascii="Times New Roman" w:hAnsi="Times New Roman"/>
          <w:szCs w:val="24"/>
        </w:rPr>
        <w:t xml:space="preserve"> </w:t>
      </w:r>
      <w:r w:rsidR="009D0F3E" w:rsidRPr="00957A2D">
        <w:rPr>
          <w:rFonts w:ascii="Times New Roman" w:hAnsi="Times New Roman"/>
          <w:szCs w:val="24"/>
        </w:rPr>
        <w:t>a</w:t>
      </w:r>
      <w:r w:rsidR="00F6106D" w:rsidRPr="00957A2D">
        <w:rPr>
          <w:rFonts w:ascii="Times New Roman" w:hAnsi="Times New Roman"/>
          <w:szCs w:val="24"/>
        </w:rPr>
        <w:t xml:space="preserve"> fine anno (nell’ipotesi di mercato a</w:t>
      </w:r>
      <w:r w:rsidR="001B7F63">
        <w:rPr>
          <w:rFonts w:ascii="Times New Roman" w:hAnsi="Times New Roman"/>
          <w:szCs w:val="24"/>
        </w:rPr>
        <w:t>zionario neutro negli ultimi quattro</w:t>
      </w:r>
      <w:r w:rsidR="00F6106D" w:rsidRPr="00957A2D">
        <w:rPr>
          <w:rFonts w:ascii="Times New Roman" w:hAnsi="Times New Roman"/>
          <w:szCs w:val="24"/>
        </w:rPr>
        <w:t xml:space="preserve"> mesi dell’anno) </w:t>
      </w:r>
      <w:r w:rsidRPr="00957A2D">
        <w:rPr>
          <w:rFonts w:ascii="Times New Roman" w:hAnsi="Times New Roman"/>
          <w:szCs w:val="24"/>
        </w:rPr>
        <w:t xml:space="preserve"> </w:t>
      </w:r>
      <w:r w:rsidR="00F6106D" w:rsidRPr="00957A2D">
        <w:rPr>
          <w:rFonts w:ascii="Times New Roman" w:hAnsi="Times New Roman"/>
          <w:szCs w:val="24"/>
        </w:rPr>
        <w:t xml:space="preserve"> risulta </w:t>
      </w:r>
      <w:r w:rsidRPr="00957A2D">
        <w:rPr>
          <w:rFonts w:ascii="Times New Roman" w:hAnsi="Times New Roman"/>
          <w:szCs w:val="24"/>
        </w:rPr>
        <w:t xml:space="preserve">pari a </w:t>
      </w:r>
      <w:r w:rsidR="002446A4" w:rsidRPr="00957A2D">
        <w:rPr>
          <w:rFonts w:ascii="Times New Roman" w:hAnsi="Times New Roman"/>
          <w:szCs w:val="24"/>
        </w:rPr>
        <w:t>:</w:t>
      </w:r>
    </w:p>
    <w:p w:rsidR="001978E4" w:rsidRPr="00957A2D" w:rsidRDefault="001978E4" w:rsidP="009D0F3E">
      <w:pPr>
        <w:rPr>
          <w:rFonts w:ascii="Times New Roman" w:hAnsi="Times New Roman"/>
          <w:sz w:val="20"/>
        </w:rPr>
      </w:pPr>
    </w:p>
    <w:tbl>
      <w:tblPr>
        <w:tblW w:w="6096" w:type="dxa"/>
        <w:tblInd w:w="-5" w:type="dxa"/>
        <w:tblBorders>
          <w:top w:val="nil"/>
          <w:left w:val="nil"/>
          <w:bottom w:val="nil"/>
          <w:right w:val="nil"/>
        </w:tblBorders>
        <w:tblLook w:val="0000" w:firstRow="0" w:lastRow="0" w:firstColumn="0" w:lastColumn="0" w:noHBand="0" w:noVBand="0"/>
      </w:tblPr>
      <w:tblGrid>
        <w:gridCol w:w="4082"/>
        <w:gridCol w:w="2014"/>
      </w:tblGrid>
      <w:tr w:rsidR="009D0F3E" w:rsidRPr="00957A2D" w:rsidTr="00997BFA">
        <w:trPr>
          <w:trHeight w:val="110"/>
        </w:trPr>
        <w:tc>
          <w:tcPr>
            <w:tcW w:w="6096" w:type="dxa"/>
            <w:gridSpan w:val="2"/>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b/>
                <w:sz w:val="22"/>
                <w:szCs w:val="22"/>
              </w:rPr>
            </w:pPr>
            <w:r w:rsidRPr="00997BFA">
              <w:rPr>
                <w:rFonts w:ascii="Times New Roman" w:hAnsi="Times New Roman" w:cs="Times New Roman"/>
                <w:b/>
                <w:bCs/>
                <w:sz w:val="22"/>
                <w:szCs w:val="22"/>
              </w:rPr>
              <w:t>PROVENTI</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risultato delle gestioni patrimoniali</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453392"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(56.500)</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proventi da immobilizzazioni finanziarie e vari</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453392"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1.100.000</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altri proventi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453392"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0</w:t>
            </w:r>
          </w:p>
        </w:tc>
      </w:tr>
      <w:tr w:rsidR="009D0F3E" w:rsidRPr="00D34392" w:rsidTr="00997BFA">
        <w:trPr>
          <w:trHeight w:val="110"/>
        </w:trPr>
        <w:tc>
          <w:tcPr>
            <w:tcW w:w="6096" w:type="dxa"/>
            <w:gridSpan w:val="2"/>
            <w:tcBorders>
              <w:top w:val="single" w:sz="4" w:space="0" w:color="auto"/>
              <w:left w:val="single" w:sz="4" w:space="0" w:color="auto"/>
              <w:bottom w:val="single" w:sz="4" w:space="0" w:color="auto"/>
              <w:right w:val="single" w:sz="4" w:space="0" w:color="auto"/>
            </w:tcBorders>
          </w:tcPr>
          <w:p w:rsidR="009D0F3E" w:rsidRPr="00997BFA" w:rsidRDefault="006651BA"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 xml:space="preserve">Totale                              </w:t>
            </w:r>
            <w:r w:rsidR="00453392" w:rsidRPr="00997BFA">
              <w:rPr>
                <w:rFonts w:ascii="Times New Roman" w:hAnsi="Times New Roman" w:cs="Times New Roman"/>
                <w:sz w:val="22"/>
                <w:szCs w:val="22"/>
              </w:rPr>
              <w:t>1.0</w:t>
            </w:r>
            <w:r w:rsidRPr="00997BFA">
              <w:rPr>
                <w:rFonts w:ascii="Times New Roman" w:hAnsi="Times New Roman" w:cs="Times New Roman"/>
                <w:sz w:val="22"/>
                <w:szCs w:val="22"/>
              </w:rPr>
              <w:t>43.500</w:t>
            </w:r>
          </w:p>
        </w:tc>
      </w:tr>
      <w:tr w:rsidR="009D0F3E" w:rsidRPr="00957A2D" w:rsidTr="00997BFA">
        <w:trPr>
          <w:trHeight w:val="110"/>
        </w:trPr>
        <w:tc>
          <w:tcPr>
            <w:tcW w:w="6096" w:type="dxa"/>
            <w:gridSpan w:val="2"/>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b/>
                <w:bCs/>
                <w:sz w:val="22"/>
                <w:szCs w:val="22"/>
              </w:rPr>
              <w:t>ONERI</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spese di funzionamento </w:t>
            </w:r>
            <w:r w:rsidR="009D3613" w:rsidRPr="00997BFA">
              <w:rPr>
                <w:rFonts w:ascii="Times New Roman" w:hAnsi="Times New Roman" w:cs="Times New Roman"/>
                <w:sz w:val="22"/>
                <w:szCs w:val="22"/>
              </w:rPr>
              <w:t>e ammortamenti</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276BCE"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6651BA" w:rsidRPr="00997BFA">
              <w:rPr>
                <w:rFonts w:ascii="Times New Roman" w:hAnsi="Times New Roman" w:cs="Times New Roman"/>
                <w:sz w:val="22"/>
                <w:szCs w:val="22"/>
              </w:rPr>
              <w:t>654.00</w:t>
            </w:r>
            <w:r w:rsidRPr="00997BFA">
              <w:rPr>
                <w:rFonts w:ascii="Times New Roman" w:hAnsi="Times New Roman" w:cs="Times New Roman"/>
                <w:sz w:val="22"/>
                <w:szCs w:val="22"/>
              </w:rPr>
              <w:t>0)</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imposte e tasse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276BCE"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6651BA" w:rsidRPr="00997BFA">
              <w:rPr>
                <w:rFonts w:ascii="Times New Roman" w:hAnsi="Times New Roman" w:cs="Times New Roman"/>
                <w:sz w:val="22"/>
                <w:szCs w:val="22"/>
              </w:rPr>
              <w:t>130.000</w:t>
            </w:r>
            <w:r w:rsidRPr="00997BFA">
              <w:rPr>
                <w:rFonts w:ascii="Times New Roman" w:hAnsi="Times New Roman" w:cs="Times New Roman"/>
                <w:sz w:val="22"/>
                <w:szCs w:val="22"/>
              </w:rPr>
              <w:t>)</w:t>
            </w:r>
          </w:p>
        </w:tc>
      </w:tr>
      <w:tr w:rsidR="009D0F3E" w:rsidRPr="00D34392" w:rsidTr="00997BFA">
        <w:trPr>
          <w:trHeight w:val="110"/>
        </w:trPr>
        <w:tc>
          <w:tcPr>
            <w:tcW w:w="6096" w:type="dxa"/>
            <w:gridSpan w:val="2"/>
            <w:tcBorders>
              <w:top w:val="single" w:sz="4" w:space="0" w:color="auto"/>
              <w:left w:val="single" w:sz="4" w:space="0" w:color="auto"/>
              <w:bottom w:val="single" w:sz="4" w:space="0" w:color="auto"/>
              <w:right w:val="single" w:sz="4" w:space="0" w:color="auto"/>
            </w:tcBorders>
          </w:tcPr>
          <w:p w:rsidR="009D0F3E" w:rsidRPr="00997BFA" w:rsidRDefault="006651BA" w:rsidP="00276BCE">
            <w:pPr>
              <w:pStyle w:val="Default"/>
              <w:jc w:val="right"/>
              <w:rPr>
                <w:rFonts w:ascii="Times New Roman" w:hAnsi="Times New Roman" w:cs="Times New Roman"/>
                <w:sz w:val="22"/>
                <w:szCs w:val="22"/>
              </w:rPr>
            </w:pPr>
            <w:r w:rsidRPr="00997BFA">
              <w:rPr>
                <w:rFonts w:ascii="Times New Roman" w:hAnsi="Times New Roman" w:cs="Times New Roman"/>
                <w:bCs/>
                <w:sz w:val="22"/>
                <w:szCs w:val="22"/>
              </w:rPr>
              <w:t xml:space="preserve">Totale                         </w:t>
            </w:r>
            <w:proofErr w:type="gramStart"/>
            <w:r w:rsidRPr="00997BFA">
              <w:rPr>
                <w:rFonts w:ascii="Times New Roman" w:hAnsi="Times New Roman" w:cs="Times New Roman"/>
                <w:bCs/>
                <w:sz w:val="22"/>
                <w:szCs w:val="22"/>
              </w:rPr>
              <w:t xml:space="preserve">   </w:t>
            </w:r>
            <w:r w:rsidR="00276BCE" w:rsidRPr="00997BFA">
              <w:rPr>
                <w:rFonts w:ascii="Times New Roman" w:hAnsi="Times New Roman" w:cs="Times New Roman"/>
                <w:bCs/>
                <w:sz w:val="22"/>
                <w:szCs w:val="22"/>
              </w:rPr>
              <w:t>(</w:t>
            </w:r>
            <w:proofErr w:type="gramEnd"/>
            <w:r w:rsidRPr="00997BFA">
              <w:rPr>
                <w:rFonts w:ascii="Times New Roman" w:hAnsi="Times New Roman" w:cs="Times New Roman"/>
                <w:bCs/>
                <w:sz w:val="22"/>
                <w:szCs w:val="22"/>
              </w:rPr>
              <w:t>784.000</w:t>
            </w:r>
            <w:r w:rsidR="00276BCE" w:rsidRPr="00997BFA">
              <w:rPr>
                <w:rFonts w:ascii="Times New Roman" w:hAnsi="Times New Roman" w:cs="Times New Roman"/>
                <w:bCs/>
                <w:sz w:val="22"/>
                <w:szCs w:val="22"/>
              </w:rPr>
              <w:t>)</w:t>
            </w:r>
            <w:r w:rsidR="009D0F3E" w:rsidRPr="00997BFA">
              <w:rPr>
                <w:rFonts w:ascii="Times New Roman" w:hAnsi="Times New Roman" w:cs="Times New Roman"/>
                <w:bCs/>
                <w:sz w:val="22"/>
                <w:szCs w:val="22"/>
              </w:rPr>
              <w:t xml:space="preserve"> </w:t>
            </w:r>
          </w:p>
        </w:tc>
      </w:tr>
      <w:tr w:rsidR="009D0F3E" w:rsidRPr="00D34392"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bCs/>
                <w:sz w:val="22"/>
                <w:szCs w:val="22"/>
              </w:rPr>
              <w:t>AVANZO</w:t>
            </w:r>
            <w:r w:rsidR="00630057" w:rsidRPr="00997BFA">
              <w:rPr>
                <w:rFonts w:ascii="Times New Roman" w:hAnsi="Times New Roman" w:cs="Times New Roman"/>
                <w:bCs/>
                <w:sz w:val="22"/>
                <w:szCs w:val="22"/>
              </w:rPr>
              <w:t>/</w:t>
            </w:r>
            <w:proofErr w:type="gramStart"/>
            <w:r w:rsidR="00630057" w:rsidRPr="00997BFA">
              <w:rPr>
                <w:rFonts w:ascii="Times New Roman" w:hAnsi="Times New Roman" w:cs="Times New Roman"/>
                <w:bCs/>
                <w:sz w:val="22"/>
                <w:szCs w:val="22"/>
              </w:rPr>
              <w:t xml:space="preserve">DISAVANZO </w:t>
            </w:r>
            <w:r w:rsidRPr="00997BFA">
              <w:rPr>
                <w:rFonts w:ascii="Times New Roman" w:hAnsi="Times New Roman" w:cs="Times New Roman"/>
                <w:bCs/>
                <w:sz w:val="22"/>
                <w:szCs w:val="22"/>
              </w:rPr>
              <w:t xml:space="preserve"> DI</w:t>
            </w:r>
            <w:proofErr w:type="gramEnd"/>
            <w:r w:rsidRPr="00997BFA">
              <w:rPr>
                <w:rFonts w:ascii="Times New Roman" w:hAnsi="Times New Roman" w:cs="Times New Roman"/>
                <w:bCs/>
                <w:sz w:val="22"/>
                <w:szCs w:val="22"/>
              </w:rPr>
              <w:t xml:space="preserve"> GESTIONE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276BCE" w:rsidP="006651BA">
            <w:pPr>
              <w:pStyle w:val="Default"/>
              <w:jc w:val="right"/>
              <w:rPr>
                <w:rFonts w:ascii="Times New Roman" w:hAnsi="Times New Roman" w:cs="Times New Roman"/>
                <w:sz w:val="22"/>
                <w:szCs w:val="22"/>
              </w:rPr>
            </w:pPr>
            <w:r w:rsidRPr="00997BFA">
              <w:rPr>
                <w:rFonts w:ascii="Times New Roman" w:hAnsi="Times New Roman" w:cs="Times New Roman"/>
                <w:bCs/>
                <w:sz w:val="22"/>
                <w:szCs w:val="22"/>
              </w:rPr>
              <w:t>2</w:t>
            </w:r>
            <w:r w:rsidR="006651BA" w:rsidRPr="00997BFA">
              <w:rPr>
                <w:rFonts w:ascii="Times New Roman" w:hAnsi="Times New Roman" w:cs="Times New Roman"/>
                <w:bCs/>
                <w:sz w:val="22"/>
                <w:szCs w:val="22"/>
              </w:rPr>
              <w:t>59.500</w:t>
            </w:r>
          </w:p>
        </w:tc>
      </w:tr>
      <w:tr w:rsidR="009D0F3E" w:rsidRPr="00D34392" w:rsidTr="00997BFA">
        <w:trPr>
          <w:trHeight w:val="110"/>
        </w:trPr>
        <w:tc>
          <w:tcPr>
            <w:tcW w:w="6096" w:type="dxa"/>
            <w:gridSpan w:val="2"/>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mallCaps/>
                <w:sz w:val="22"/>
                <w:szCs w:val="22"/>
              </w:rPr>
            </w:pPr>
            <w:r w:rsidRPr="00997BFA">
              <w:rPr>
                <w:rFonts w:ascii="Times New Roman" w:hAnsi="Times New Roman" w:cs="Times New Roman"/>
                <w:bCs/>
                <w:smallCaps/>
                <w:sz w:val="22"/>
                <w:szCs w:val="22"/>
              </w:rPr>
              <w:t xml:space="preserve">accantonamenti: </w:t>
            </w:r>
          </w:p>
        </w:tc>
      </w:tr>
      <w:tr w:rsidR="00276BC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276BCE" w:rsidRPr="00997BFA" w:rsidRDefault="00276BCE" w:rsidP="00F2504E">
            <w:pPr>
              <w:pStyle w:val="Default"/>
              <w:rPr>
                <w:rFonts w:ascii="Times New Roman" w:hAnsi="Times New Roman" w:cs="Times New Roman"/>
                <w:sz w:val="22"/>
                <w:szCs w:val="22"/>
              </w:rPr>
            </w:pPr>
            <w:r w:rsidRPr="00997BFA">
              <w:rPr>
                <w:rFonts w:ascii="Times New Roman" w:hAnsi="Times New Roman" w:cs="Times New Roman"/>
                <w:sz w:val="22"/>
                <w:szCs w:val="22"/>
              </w:rPr>
              <w:t>alla copertura dei disavanzi pregressi</w:t>
            </w:r>
          </w:p>
        </w:tc>
        <w:tc>
          <w:tcPr>
            <w:tcW w:w="2014" w:type="dxa"/>
            <w:tcBorders>
              <w:top w:val="single" w:sz="4" w:space="0" w:color="auto"/>
              <w:left w:val="single" w:sz="4" w:space="0" w:color="auto"/>
              <w:bottom w:val="single" w:sz="4" w:space="0" w:color="auto"/>
              <w:right w:val="single" w:sz="4" w:space="0" w:color="auto"/>
            </w:tcBorders>
          </w:tcPr>
          <w:p w:rsidR="00276BCE" w:rsidRPr="00997BFA" w:rsidRDefault="00F6106D"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6651BA" w:rsidRPr="00997BFA">
              <w:rPr>
                <w:rFonts w:ascii="Times New Roman" w:hAnsi="Times New Roman" w:cs="Times New Roman"/>
                <w:sz w:val="22"/>
                <w:szCs w:val="22"/>
              </w:rPr>
              <w:t>64.875</w:t>
            </w:r>
            <w:r w:rsidRPr="00997BFA">
              <w:rPr>
                <w:rFonts w:ascii="Times New Roman" w:hAnsi="Times New Roman" w:cs="Times New Roman"/>
                <w:sz w:val="22"/>
                <w:szCs w:val="22"/>
              </w:rPr>
              <w:t>)</w:t>
            </w:r>
          </w:p>
        </w:tc>
      </w:tr>
      <w:tr w:rsidR="009D0F3E" w:rsidRPr="00D34392"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b/>
                <w:sz w:val="22"/>
                <w:szCs w:val="22"/>
              </w:rPr>
            </w:pPr>
            <w:r w:rsidRPr="00997BFA">
              <w:rPr>
                <w:rFonts w:ascii="Times New Roman" w:hAnsi="Times New Roman" w:cs="Times New Roman"/>
                <w:b/>
                <w:sz w:val="22"/>
                <w:szCs w:val="22"/>
              </w:rPr>
              <w:t xml:space="preserve">al fondo interventi istituzionali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F6106D" w:rsidP="00F2504E">
            <w:pPr>
              <w:pStyle w:val="Default"/>
              <w:jc w:val="right"/>
              <w:rPr>
                <w:rFonts w:ascii="Times New Roman" w:hAnsi="Times New Roman" w:cs="Times New Roman"/>
                <w:b/>
                <w:sz w:val="22"/>
                <w:szCs w:val="22"/>
              </w:rPr>
            </w:pPr>
            <w:r w:rsidRPr="00997BFA">
              <w:rPr>
                <w:rFonts w:ascii="Times New Roman" w:hAnsi="Times New Roman" w:cs="Times New Roman"/>
                <w:b/>
                <w:sz w:val="22"/>
                <w:szCs w:val="22"/>
              </w:rPr>
              <w:t>(</w:t>
            </w:r>
            <w:r w:rsidR="006651BA" w:rsidRPr="00997BFA">
              <w:rPr>
                <w:rFonts w:ascii="Times New Roman" w:hAnsi="Times New Roman" w:cs="Times New Roman"/>
                <w:b/>
                <w:sz w:val="22"/>
                <w:szCs w:val="22"/>
              </w:rPr>
              <w:t>150.510</w:t>
            </w:r>
            <w:r w:rsidRPr="00997BFA">
              <w:rPr>
                <w:rFonts w:ascii="Times New Roman" w:hAnsi="Times New Roman" w:cs="Times New Roman"/>
                <w:b/>
                <w:sz w:val="22"/>
                <w:szCs w:val="22"/>
              </w:rPr>
              <w:t>)</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alla riserva obbligatoria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F6106D"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6651BA" w:rsidRPr="00997BFA">
              <w:rPr>
                <w:rFonts w:ascii="Times New Roman" w:hAnsi="Times New Roman" w:cs="Times New Roman"/>
                <w:sz w:val="22"/>
                <w:szCs w:val="22"/>
              </w:rPr>
              <w:t>38.925</w:t>
            </w:r>
            <w:r w:rsidRPr="00997BFA">
              <w:rPr>
                <w:rFonts w:ascii="Times New Roman" w:hAnsi="Times New Roman" w:cs="Times New Roman"/>
                <w:sz w:val="22"/>
                <w:szCs w:val="22"/>
              </w:rPr>
              <w:t>)</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al fondo per il volontariato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F6106D"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6651BA" w:rsidRPr="00997BFA">
              <w:rPr>
                <w:rFonts w:ascii="Times New Roman" w:hAnsi="Times New Roman" w:cs="Times New Roman"/>
                <w:sz w:val="22"/>
                <w:szCs w:val="22"/>
              </w:rPr>
              <w:t>5.190</w:t>
            </w:r>
            <w:r w:rsidRPr="00997BFA">
              <w:rPr>
                <w:rFonts w:ascii="Times New Roman" w:hAnsi="Times New Roman" w:cs="Times New Roman"/>
                <w:sz w:val="22"/>
                <w:szCs w:val="22"/>
              </w:rPr>
              <w:t>)</w:t>
            </w:r>
          </w:p>
        </w:tc>
      </w:tr>
      <w:tr w:rsidR="009D0F3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al fondo integrità patrimoniale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9D0F3E" w:rsidP="00F2504E">
            <w:pPr>
              <w:pStyle w:val="Default"/>
              <w:jc w:val="right"/>
              <w:rPr>
                <w:rFonts w:ascii="Times New Roman" w:hAnsi="Times New Roman" w:cs="Times New Roman"/>
                <w:sz w:val="22"/>
                <w:szCs w:val="22"/>
              </w:rPr>
            </w:pPr>
            <w:r w:rsidRPr="00997BFA">
              <w:rPr>
                <w:rFonts w:ascii="Times New Roman" w:hAnsi="Times New Roman" w:cs="Times New Roman"/>
                <w:sz w:val="22"/>
                <w:szCs w:val="22"/>
              </w:rPr>
              <w:t>0</w:t>
            </w:r>
          </w:p>
        </w:tc>
      </w:tr>
      <w:tr w:rsidR="00276BCE" w:rsidRPr="00957A2D"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276BCE" w:rsidRPr="00997BFA" w:rsidRDefault="00276BCE" w:rsidP="00276BCE">
            <w:pPr>
              <w:pStyle w:val="Default"/>
              <w:rPr>
                <w:rFonts w:ascii="Times New Roman" w:hAnsi="Times New Roman" w:cs="Times New Roman"/>
                <w:sz w:val="22"/>
                <w:szCs w:val="22"/>
              </w:rPr>
            </w:pPr>
            <w:r w:rsidRPr="00997BFA">
              <w:rPr>
                <w:rFonts w:ascii="Times New Roman" w:hAnsi="Times New Roman" w:cs="Times New Roman"/>
                <w:sz w:val="22"/>
                <w:szCs w:val="22"/>
              </w:rPr>
              <w:t xml:space="preserve">al fondo Acri per interventi comuni </w:t>
            </w:r>
          </w:p>
        </w:tc>
        <w:tc>
          <w:tcPr>
            <w:tcW w:w="2014" w:type="dxa"/>
            <w:tcBorders>
              <w:top w:val="single" w:sz="4" w:space="0" w:color="auto"/>
              <w:left w:val="single" w:sz="4" w:space="0" w:color="auto"/>
              <w:bottom w:val="single" w:sz="4" w:space="0" w:color="auto"/>
              <w:right w:val="single" w:sz="4" w:space="0" w:color="auto"/>
            </w:tcBorders>
          </w:tcPr>
          <w:p w:rsidR="00276BCE" w:rsidRPr="00997BFA" w:rsidRDefault="00F6106D" w:rsidP="00276BCE">
            <w:pPr>
              <w:pStyle w:val="Default"/>
              <w:jc w:val="right"/>
              <w:rPr>
                <w:rFonts w:ascii="Times New Roman" w:hAnsi="Times New Roman" w:cs="Times New Roman"/>
                <w:sz w:val="22"/>
                <w:szCs w:val="22"/>
              </w:rPr>
            </w:pPr>
            <w:r w:rsidRPr="00997BFA">
              <w:rPr>
                <w:rFonts w:ascii="Times New Roman" w:hAnsi="Times New Roman" w:cs="Times New Roman"/>
                <w:sz w:val="22"/>
                <w:szCs w:val="22"/>
              </w:rPr>
              <w:t>(</w:t>
            </w:r>
            <w:r w:rsidR="00276BCE" w:rsidRPr="00997BFA">
              <w:rPr>
                <w:rFonts w:ascii="Times New Roman" w:hAnsi="Times New Roman" w:cs="Times New Roman"/>
                <w:sz w:val="22"/>
                <w:szCs w:val="22"/>
              </w:rPr>
              <w:t>4</w:t>
            </w:r>
            <w:r w:rsidR="006651BA" w:rsidRPr="00997BFA">
              <w:rPr>
                <w:rFonts w:ascii="Times New Roman" w:hAnsi="Times New Roman" w:cs="Times New Roman"/>
                <w:sz w:val="22"/>
                <w:szCs w:val="22"/>
              </w:rPr>
              <w:t>67</w:t>
            </w:r>
            <w:r w:rsidRPr="00997BFA">
              <w:rPr>
                <w:rFonts w:ascii="Times New Roman" w:hAnsi="Times New Roman" w:cs="Times New Roman"/>
                <w:sz w:val="22"/>
                <w:szCs w:val="22"/>
              </w:rPr>
              <w:t>)</w:t>
            </w:r>
          </w:p>
        </w:tc>
      </w:tr>
      <w:tr w:rsidR="009D0F3E" w:rsidRPr="00D34392" w:rsidTr="00997BFA">
        <w:trPr>
          <w:trHeight w:val="110"/>
        </w:trPr>
        <w:tc>
          <w:tcPr>
            <w:tcW w:w="4082" w:type="dxa"/>
            <w:tcBorders>
              <w:top w:val="single" w:sz="4" w:space="0" w:color="auto"/>
              <w:left w:val="single" w:sz="4" w:space="0" w:color="auto"/>
              <w:bottom w:val="single" w:sz="4" w:space="0" w:color="auto"/>
              <w:right w:val="single" w:sz="4" w:space="0" w:color="auto"/>
            </w:tcBorders>
          </w:tcPr>
          <w:p w:rsidR="009D0F3E" w:rsidRPr="00997BFA" w:rsidRDefault="009D0F3E" w:rsidP="00630057">
            <w:pPr>
              <w:pStyle w:val="Default"/>
              <w:rPr>
                <w:rFonts w:ascii="Times New Roman" w:hAnsi="Times New Roman" w:cs="Times New Roman"/>
                <w:sz w:val="22"/>
                <w:szCs w:val="22"/>
              </w:rPr>
            </w:pPr>
            <w:r w:rsidRPr="00997BFA">
              <w:rPr>
                <w:rFonts w:ascii="Times New Roman" w:hAnsi="Times New Roman" w:cs="Times New Roman"/>
                <w:bCs/>
                <w:sz w:val="22"/>
                <w:szCs w:val="22"/>
              </w:rPr>
              <w:t>Avanzo</w:t>
            </w:r>
            <w:r w:rsidR="00630057" w:rsidRPr="00997BFA">
              <w:rPr>
                <w:rFonts w:ascii="Times New Roman" w:hAnsi="Times New Roman" w:cs="Times New Roman"/>
                <w:bCs/>
                <w:sz w:val="22"/>
                <w:szCs w:val="22"/>
              </w:rPr>
              <w:t>/disavanzo</w:t>
            </w:r>
            <w:r w:rsidRPr="00997BFA">
              <w:rPr>
                <w:rFonts w:ascii="Times New Roman" w:hAnsi="Times New Roman" w:cs="Times New Roman"/>
                <w:bCs/>
                <w:sz w:val="22"/>
                <w:szCs w:val="22"/>
              </w:rPr>
              <w:t xml:space="preserve"> residuo </w:t>
            </w:r>
          </w:p>
        </w:tc>
        <w:tc>
          <w:tcPr>
            <w:tcW w:w="2014" w:type="dxa"/>
            <w:tcBorders>
              <w:top w:val="single" w:sz="4" w:space="0" w:color="auto"/>
              <w:left w:val="single" w:sz="4" w:space="0" w:color="auto"/>
              <w:bottom w:val="single" w:sz="4" w:space="0" w:color="auto"/>
              <w:right w:val="single" w:sz="4" w:space="0" w:color="auto"/>
            </w:tcBorders>
          </w:tcPr>
          <w:p w:rsidR="009D0F3E" w:rsidRPr="00997BFA" w:rsidRDefault="00F445B8" w:rsidP="00F2504E">
            <w:pPr>
              <w:pStyle w:val="Default"/>
              <w:jc w:val="right"/>
              <w:rPr>
                <w:rFonts w:ascii="Times New Roman" w:hAnsi="Times New Roman" w:cs="Times New Roman"/>
                <w:sz w:val="22"/>
                <w:szCs w:val="22"/>
              </w:rPr>
            </w:pPr>
            <w:r w:rsidRPr="00997BFA">
              <w:rPr>
                <w:rFonts w:ascii="Times New Roman" w:hAnsi="Times New Roman" w:cs="Times New Roman"/>
                <w:bCs/>
                <w:sz w:val="22"/>
                <w:szCs w:val="22"/>
              </w:rPr>
              <w:t>--</w:t>
            </w:r>
          </w:p>
        </w:tc>
      </w:tr>
    </w:tbl>
    <w:p w:rsidR="009D0F3E" w:rsidRPr="00957A2D" w:rsidRDefault="009D0F3E" w:rsidP="009D0F3E">
      <w:pPr>
        <w:rPr>
          <w:rFonts w:ascii="Times New Roman" w:hAnsi="Times New Roman"/>
          <w:sz w:val="20"/>
        </w:rPr>
      </w:pPr>
    </w:p>
    <w:p w:rsidR="00F2504E" w:rsidRDefault="00F2504E" w:rsidP="009D0F3E">
      <w:pPr>
        <w:rPr>
          <w:rFonts w:ascii="Times New Roman" w:hAnsi="Times New Roman"/>
          <w:szCs w:val="24"/>
        </w:rPr>
      </w:pPr>
    </w:p>
    <w:p w:rsidR="007136DF" w:rsidRPr="00997BFA" w:rsidRDefault="005D0F39" w:rsidP="007136DF">
      <w:pPr>
        <w:pStyle w:val="Default"/>
        <w:jc w:val="both"/>
        <w:rPr>
          <w:rFonts w:ascii="Times New Roman" w:hAnsi="Times New Roman" w:cs="Times New Roman"/>
          <w:b/>
        </w:rPr>
      </w:pPr>
      <w:r w:rsidRPr="00997BFA">
        <w:rPr>
          <w:rFonts w:ascii="Times New Roman" w:hAnsi="Times New Roman"/>
          <w:b/>
        </w:rPr>
        <w:t>L’ammontare dell’importo di € 1</w:t>
      </w:r>
      <w:r w:rsidR="009647D1" w:rsidRPr="00997BFA">
        <w:rPr>
          <w:rFonts w:ascii="Times New Roman" w:hAnsi="Times New Roman"/>
          <w:b/>
        </w:rPr>
        <w:t>50.</w:t>
      </w:r>
      <w:r w:rsidR="00D34392" w:rsidRPr="00997BFA">
        <w:rPr>
          <w:rFonts w:ascii="Times New Roman" w:hAnsi="Times New Roman"/>
          <w:b/>
        </w:rPr>
        <w:t>5</w:t>
      </w:r>
      <w:r w:rsidR="009647D1" w:rsidRPr="00997BFA">
        <w:rPr>
          <w:rFonts w:ascii="Times New Roman" w:hAnsi="Times New Roman"/>
          <w:b/>
        </w:rPr>
        <w:t>10</w:t>
      </w:r>
      <w:r w:rsidRPr="00997BFA">
        <w:rPr>
          <w:rFonts w:ascii="Times New Roman" w:hAnsi="Times New Roman"/>
          <w:b/>
        </w:rPr>
        <w:t xml:space="preserve"> riguarderà pertanto</w:t>
      </w:r>
      <w:r w:rsidR="007136DF" w:rsidRPr="00997BFA">
        <w:rPr>
          <w:rFonts w:ascii="Times New Roman" w:hAnsi="Times New Roman"/>
          <w:b/>
        </w:rPr>
        <w:t xml:space="preserve"> </w:t>
      </w:r>
      <w:r w:rsidR="00615C9F">
        <w:rPr>
          <w:rFonts w:ascii="Times New Roman" w:hAnsi="Times New Roman"/>
          <w:b/>
        </w:rPr>
        <w:t xml:space="preserve">la previsione di </w:t>
      </w:r>
      <w:proofErr w:type="gramStart"/>
      <w:r w:rsidR="007136DF" w:rsidRPr="00997BFA">
        <w:rPr>
          <w:rFonts w:ascii="Times New Roman" w:hAnsi="Times New Roman"/>
          <w:b/>
        </w:rPr>
        <w:t xml:space="preserve">accantonamento </w:t>
      </w:r>
      <w:r w:rsidRPr="00997BFA">
        <w:rPr>
          <w:rFonts w:ascii="Times New Roman" w:hAnsi="Times New Roman"/>
          <w:b/>
        </w:rPr>
        <w:t xml:space="preserve"> </w:t>
      </w:r>
      <w:r w:rsidR="007136DF" w:rsidRPr="00997BFA">
        <w:rPr>
          <w:rFonts w:ascii="Times New Roman" w:hAnsi="Times New Roman" w:cs="Times New Roman"/>
          <w:b/>
        </w:rPr>
        <w:t>al</w:t>
      </w:r>
      <w:proofErr w:type="gramEnd"/>
      <w:r w:rsidR="007136DF" w:rsidRPr="00997BFA">
        <w:rPr>
          <w:rFonts w:ascii="Times New Roman" w:hAnsi="Times New Roman" w:cs="Times New Roman"/>
          <w:b/>
        </w:rPr>
        <w:t xml:space="preserve"> fondo interventi istituzionali disponibile per l’esercizio 202</w:t>
      </w:r>
      <w:r w:rsidR="009647D1" w:rsidRPr="00997BFA">
        <w:rPr>
          <w:rFonts w:ascii="Times New Roman" w:hAnsi="Times New Roman" w:cs="Times New Roman"/>
          <w:b/>
        </w:rPr>
        <w:t>1.</w:t>
      </w:r>
    </w:p>
    <w:p w:rsidR="005D0F39" w:rsidRPr="00997BFA" w:rsidRDefault="005D0F39" w:rsidP="009D0F3E">
      <w:pPr>
        <w:rPr>
          <w:rFonts w:ascii="Times New Roman" w:hAnsi="Times New Roman"/>
          <w:b/>
          <w:szCs w:val="24"/>
        </w:rPr>
      </w:pPr>
    </w:p>
    <w:p w:rsidR="009D0F3E" w:rsidRPr="000E412C" w:rsidRDefault="009D0F3E" w:rsidP="00A24EAF">
      <w:pPr>
        <w:pStyle w:val="Pidipagina"/>
        <w:tabs>
          <w:tab w:val="left" w:pos="708"/>
        </w:tabs>
        <w:jc w:val="both"/>
        <w:rPr>
          <w:rFonts w:asciiTheme="minorHAnsi" w:hAnsiTheme="minorHAnsi"/>
          <w:b/>
          <w:bCs/>
          <w:sz w:val="24"/>
          <w:szCs w:val="24"/>
          <w:u w:val="single"/>
        </w:rPr>
      </w:pPr>
    </w:p>
    <w:p w:rsidR="009C44E2" w:rsidRDefault="001532BF" w:rsidP="009C44E2">
      <w:pPr>
        <w:pStyle w:val="Pidipagina"/>
        <w:tabs>
          <w:tab w:val="left" w:pos="708"/>
        </w:tabs>
        <w:jc w:val="both"/>
        <w:rPr>
          <w:sz w:val="24"/>
          <w:szCs w:val="24"/>
        </w:rPr>
      </w:pPr>
      <w:r w:rsidRPr="00B27766">
        <w:rPr>
          <w:b/>
          <w:bCs/>
          <w:sz w:val="24"/>
          <w:szCs w:val="24"/>
          <w:u w:val="single"/>
        </w:rPr>
        <w:t>Criteri per la gestione delle risorse patrimoniali</w:t>
      </w:r>
      <w:r w:rsidR="009C44E2" w:rsidRPr="00B27766">
        <w:rPr>
          <w:sz w:val="24"/>
          <w:szCs w:val="24"/>
        </w:rPr>
        <w:t xml:space="preserve"> </w:t>
      </w:r>
    </w:p>
    <w:p w:rsidR="009647D1" w:rsidRPr="00B27766" w:rsidRDefault="009647D1" w:rsidP="009647D1">
      <w:pPr>
        <w:rPr>
          <w:rFonts w:ascii="Times New Roman" w:hAnsi="Times New Roman"/>
        </w:rPr>
      </w:pPr>
      <w:r w:rsidRPr="00B27766">
        <w:rPr>
          <w:rFonts w:ascii="Times New Roman" w:hAnsi="Times New Roman"/>
        </w:rPr>
        <w:t xml:space="preserve">Resta </w:t>
      </w:r>
      <w:proofErr w:type="gramStart"/>
      <w:r w:rsidRPr="00B27766">
        <w:rPr>
          <w:rFonts w:ascii="Times New Roman" w:hAnsi="Times New Roman"/>
        </w:rPr>
        <w:t>confermata  l’adozione</w:t>
      </w:r>
      <w:proofErr w:type="gramEnd"/>
      <w:r w:rsidRPr="00B27766">
        <w:rPr>
          <w:rFonts w:ascii="Times New Roman" w:hAnsi="Times New Roman"/>
        </w:rPr>
        <w:t xml:space="preserve">  di criteri  prudenziali, conformemente a quelli già  assunti  negli esercizi precedenti, con l’obiettivo di assicurare in primo luogo la conservazione del valore economico del patrimonio  e di ricavare  un rendimento possibilmente stabile,  secondo  un orizzonte di medio periodo, adeguato a sostenere con un adeguato livello erogativo    le aspettative  della Comunità lo</w:t>
      </w:r>
      <w:r>
        <w:rPr>
          <w:rFonts w:ascii="Times New Roman" w:hAnsi="Times New Roman"/>
        </w:rPr>
        <w:t>cale nel suo insieme</w:t>
      </w:r>
      <w:r w:rsidRPr="00B27766">
        <w:rPr>
          <w:rFonts w:ascii="Times New Roman" w:hAnsi="Times New Roman"/>
        </w:rPr>
        <w:t>.</w:t>
      </w:r>
    </w:p>
    <w:p w:rsidR="009647D1" w:rsidRPr="009647D1" w:rsidRDefault="009647D1" w:rsidP="009647D1">
      <w:pPr>
        <w:rPr>
          <w:rFonts w:ascii="Times New Roman" w:hAnsi="Times New Roman"/>
        </w:rPr>
      </w:pPr>
      <w:r w:rsidRPr="00B27766">
        <w:rPr>
          <w:rFonts w:ascii="Times New Roman" w:hAnsi="Times New Roman"/>
        </w:rPr>
        <w:t xml:space="preserve">Per la complessiva attività di </w:t>
      </w:r>
      <w:proofErr w:type="gramStart"/>
      <w:r w:rsidRPr="00B27766">
        <w:rPr>
          <w:rFonts w:ascii="Times New Roman" w:hAnsi="Times New Roman"/>
        </w:rPr>
        <w:t>investimento  del</w:t>
      </w:r>
      <w:proofErr w:type="gramEnd"/>
      <w:r w:rsidRPr="00B27766">
        <w:rPr>
          <w:rFonts w:ascii="Times New Roman" w:hAnsi="Times New Roman"/>
        </w:rPr>
        <w:t xml:space="preserve"> patrimonio finanziario  quale  supporto anche nell'espletamento delle verifiche e degli adempimenti  previsti  dal Protocollo ACRI-</w:t>
      </w:r>
      <w:proofErr w:type="spellStart"/>
      <w:r w:rsidRPr="00B27766">
        <w:rPr>
          <w:rFonts w:ascii="Times New Roman" w:hAnsi="Times New Roman"/>
        </w:rPr>
        <w:t>Mef</w:t>
      </w:r>
      <w:proofErr w:type="spellEnd"/>
      <w:r w:rsidRPr="00B27766">
        <w:rPr>
          <w:rFonts w:ascii="Times New Roman" w:hAnsi="Times New Roman"/>
        </w:rPr>
        <w:t xml:space="preserve"> del 22/4/2015 e recepiti nello Statuto dell’Ente e nel  Regolamento per la gestione del patrimonio, </w:t>
      </w:r>
      <w:r w:rsidRPr="00B27766">
        <w:rPr>
          <w:rFonts w:ascii="Times New Roman" w:hAnsi="Times New Roman"/>
        </w:rPr>
        <w:lastRenderedPageBreak/>
        <w:t xml:space="preserve">si continuerà ad utilizzare  un apposito  servizio di  </w:t>
      </w:r>
      <w:proofErr w:type="spellStart"/>
      <w:r w:rsidRPr="00B27766">
        <w:rPr>
          <w:rFonts w:ascii="Times New Roman" w:hAnsi="Times New Roman"/>
        </w:rPr>
        <w:t>advisory</w:t>
      </w:r>
      <w:proofErr w:type="spellEnd"/>
      <w:r w:rsidRPr="00B27766">
        <w:rPr>
          <w:rFonts w:ascii="Times New Roman" w:hAnsi="Times New Roman"/>
        </w:rPr>
        <w:t xml:space="preserve"> finanziario che già dal   2017 ha sostenuto  in tale ambito  gli organi della Fondazione.</w:t>
      </w:r>
    </w:p>
    <w:p w:rsidR="009647D1" w:rsidRDefault="009647D1" w:rsidP="009647D1">
      <w:pPr>
        <w:rPr>
          <w:b/>
          <w:bCs/>
          <w:iCs/>
        </w:rPr>
      </w:pPr>
    </w:p>
    <w:p w:rsidR="009647D1" w:rsidRPr="009647D1" w:rsidRDefault="009647D1" w:rsidP="009647D1">
      <w:pPr>
        <w:rPr>
          <w:rFonts w:ascii="Times New Roman" w:hAnsi="Times New Roman"/>
          <w:b/>
          <w:bCs/>
          <w:iCs/>
        </w:rPr>
      </w:pPr>
      <w:r w:rsidRPr="009647D1">
        <w:rPr>
          <w:rFonts w:ascii="Times New Roman" w:hAnsi="Times New Roman"/>
          <w:b/>
          <w:bCs/>
          <w:iCs/>
        </w:rPr>
        <w:t xml:space="preserve">Gestione </w:t>
      </w:r>
      <w:proofErr w:type="gramStart"/>
      <w:r w:rsidRPr="009647D1">
        <w:rPr>
          <w:rFonts w:ascii="Times New Roman" w:hAnsi="Times New Roman"/>
          <w:b/>
          <w:bCs/>
          <w:iCs/>
        </w:rPr>
        <w:t>delle  risorse</w:t>
      </w:r>
      <w:proofErr w:type="gramEnd"/>
      <w:r w:rsidRPr="009647D1">
        <w:rPr>
          <w:rFonts w:ascii="Times New Roman" w:hAnsi="Times New Roman"/>
          <w:b/>
          <w:bCs/>
          <w:iCs/>
        </w:rPr>
        <w:t xml:space="preserve"> patrimoniali</w:t>
      </w:r>
    </w:p>
    <w:p w:rsidR="009647D1" w:rsidRPr="00615C9F" w:rsidRDefault="009647D1" w:rsidP="00615C9F">
      <w:pPr>
        <w:tabs>
          <w:tab w:val="left" w:pos="708"/>
        </w:tabs>
        <w:rPr>
          <w:rFonts w:ascii="Times New Roman" w:hAnsi="Times New Roman"/>
        </w:rPr>
      </w:pPr>
      <w:r w:rsidRPr="009647D1">
        <w:rPr>
          <w:rFonts w:ascii="Times New Roman" w:hAnsi="Times New Roman"/>
          <w:bCs/>
        </w:rPr>
        <w:t>Per la gestione delle risorse patrimoniali</w:t>
      </w:r>
      <w:r w:rsidRPr="009647D1">
        <w:rPr>
          <w:rFonts w:ascii="Times New Roman" w:hAnsi="Times New Roman"/>
        </w:rPr>
        <w:t xml:space="preserve"> vale quanto </w:t>
      </w:r>
      <w:proofErr w:type="gramStart"/>
      <w:r w:rsidRPr="009647D1">
        <w:rPr>
          <w:rFonts w:ascii="Times New Roman" w:hAnsi="Times New Roman"/>
        </w:rPr>
        <w:t>stabilito  dal</w:t>
      </w:r>
      <w:proofErr w:type="gramEnd"/>
      <w:r w:rsidRPr="009647D1">
        <w:rPr>
          <w:rFonts w:ascii="Times New Roman" w:hAnsi="Times New Roman"/>
        </w:rPr>
        <w:t xml:space="preserve"> Consiglio di Indirizzo con la fondamentale determinazione del 18 aprile 2001, via via adeguata nei suoi contenuti di aggiornamento fino alla ultima  deliberazione del 13 marzo 2019.  </w:t>
      </w:r>
    </w:p>
    <w:p w:rsidR="009647D1" w:rsidRPr="009647D1" w:rsidRDefault="009647D1" w:rsidP="009647D1">
      <w:pPr>
        <w:spacing w:before="100" w:beforeAutospacing="1" w:after="120"/>
        <w:rPr>
          <w:rFonts w:ascii="Times New Roman" w:hAnsi="Times New Roman"/>
        </w:rPr>
      </w:pPr>
      <w:r w:rsidRPr="009647D1">
        <w:rPr>
          <w:rFonts w:ascii="Times New Roman" w:hAnsi="Times New Roman"/>
        </w:rPr>
        <w:t xml:space="preserve">Gli organi   della Fondazione sono supportati nell’attività di </w:t>
      </w:r>
      <w:proofErr w:type="gramStart"/>
      <w:r w:rsidRPr="009647D1">
        <w:rPr>
          <w:rFonts w:ascii="Times New Roman" w:hAnsi="Times New Roman"/>
        </w:rPr>
        <w:t>gestione  delle</w:t>
      </w:r>
      <w:proofErr w:type="gramEnd"/>
      <w:r w:rsidRPr="009647D1">
        <w:rPr>
          <w:rFonts w:ascii="Times New Roman" w:hAnsi="Times New Roman"/>
        </w:rPr>
        <w:t xml:space="preserve"> risorse patrimoniali da un servizio di </w:t>
      </w:r>
      <w:proofErr w:type="spellStart"/>
      <w:r w:rsidRPr="009647D1">
        <w:rPr>
          <w:rFonts w:ascii="Times New Roman" w:hAnsi="Times New Roman"/>
        </w:rPr>
        <w:t>advasory</w:t>
      </w:r>
      <w:proofErr w:type="spellEnd"/>
      <w:r w:rsidRPr="009647D1">
        <w:rPr>
          <w:rFonts w:ascii="Times New Roman" w:hAnsi="Times New Roman"/>
        </w:rPr>
        <w:t xml:space="preserve"> finalizzato   alla ottimizzazione della strategia di investimento e della definizione della conseguente asset allocation strategica. Con </w:t>
      </w:r>
      <w:proofErr w:type="gramStart"/>
      <w:r w:rsidRPr="009647D1">
        <w:rPr>
          <w:rFonts w:ascii="Times New Roman" w:hAnsi="Times New Roman"/>
        </w:rPr>
        <w:t>esso  viene</w:t>
      </w:r>
      <w:proofErr w:type="gramEnd"/>
      <w:r w:rsidRPr="009647D1">
        <w:rPr>
          <w:rFonts w:ascii="Times New Roman" w:hAnsi="Times New Roman"/>
        </w:rPr>
        <w:t xml:space="preserve"> assicurato   il  continuo  controllo della stessa in relazione agli andamenti macro e dei mercati    finanziari oltreché di  particolari eventi rispetto agli obiettivi prefissati. Vi è inoltre compresa la valutazione e verifica   </w:t>
      </w:r>
      <w:proofErr w:type="gramStart"/>
      <w:r w:rsidRPr="009647D1">
        <w:rPr>
          <w:rFonts w:ascii="Times New Roman" w:hAnsi="Times New Roman"/>
        </w:rPr>
        <w:t>dei  portafogli</w:t>
      </w:r>
      <w:proofErr w:type="gramEnd"/>
      <w:r w:rsidRPr="009647D1">
        <w:rPr>
          <w:rFonts w:ascii="Times New Roman" w:hAnsi="Times New Roman"/>
        </w:rPr>
        <w:t xml:space="preserve"> in gestione   con il  monitoraggio del rischio, delle misure di efficienza e del livello dei costi sia espliciti che impliciti.  </w:t>
      </w:r>
    </w:p>
    <w:p w:rsidR="009647D1" w:rsidRPr="009647D1" w:rsidRDefault="009647D1" w:rsidP="009647D1">
      <w:pPr>
        <w:pStyle w:val="Pidipagina"/>
        <w:jc w:val="both"/>
      </w:pPr>
    </w:p>
    <w:p w:rsidR="009647D1" w:rsidRPr="009647D1" w:rsidRDefault="009647D1" w:rsidP="009647D1">
      <w:pPr>
        <w:pStyle w:val="Pidipagina"/>
        <w:jc w:val="both"/>
        <w:rPr>
          <w:sz w:val="24"/>
          <w:szCs w:val="24"/>
        </w:rPr>
      </w:pPr>
      <w:r w:rsidRPr="009647D1">
        <w:rPr>
          <w:sz w:val="24"/>
          <w:szCs w:val="24"/>
        </w:rPr>
        <w:t xml:space="preserve">L’impostazione prevede una opportuna diversificazione degli attivi al fine di contenere i rischi di investimento a fronte del comportamento dei mercati e degli obiettivi di rendimento previsti, </w:t>
      </w:r>
      <w:proofErr w:type="gramStart"/>
      <w:r w:rsidRPr="009647D1">
        <w:rPr>
          <w:sz w:val="24"/>
          <w:szCs w:val="24"/>
        </w:rPr>
        <w:t>con  una</w:t>
      </w:r>
      <w:proofErr w:type="gramEnd"/>
      <w:r w:rsidRPr="009647D1">
        <w:rPr>
          <w:sz w:val="24"/>
          <w:szCs w:val="24"/>
        </w:rPr>
        <w:t xml:space="preserve"> particolare attenzione nel   contenimento dei costi.</w:t>
      </w:r>
    </w:p>
    <w:p w:rsidR="009647D1" w:rsidRPr="009647D1" w:rsidRDefault="009647D1" w:rsidP="009647D1">
      <w:pPr>
        <w:pStyle w:val="Pidipagina"/>
        <w:jc w:val="both"/>
        <w:rPr>
          <w:sz w:val="24"/>
          <w:szCs w:val="24"/>
        </w:rPr>
      </w:pPr>
    </w:p>
    <w:p w:rsidR="001B1C75" w:rsidRPr="001B1C75" w:rsidRDefault="001B1C75" w:rsidP="001B1C75">
      <w:pPr>
        <w:pStyle w:val="Default"/>
        <w:jc w:val="both"/>
        <w:rPr>
          <w:rFonts w:ascii="Times New Roman" w:hAnsi="Times New Roman" w:cs="Times New Roman"/>
        </w:rPr>
      </w:pPr>
      <w:r w:rsidRPr="001B1C75">
        <w:rPr>
          <w:rFonts w:ascii="Times New Roman" w:hAnsi="Times New Roman" w:cs="Times New Roman"/>
        </w:rPr>
        <w:t xml:space="preserve">I portafogli investiti risultano ripartiti in due componenti principali: </w:t>
      </w:r>
    </w:p>
    <w:p w:rsidR="001B1C75" w:rsidRPr="001B1C75" w:rsidRDefault="001B1C75" w:rsidP="001B1C75">
      <w:pPr>
        <w:pStyle w:val="Delibera"/>
        <w:numPr>
          <w:ilvl w:val="0"/>
          <w:numId w:val="36"/>
        </w:numPr>
        <w:tabs>
          <w:tab w:val="clear" w:pos="567"/>
        </w:tabs>
        <w:spacing w:line="240" w:lineRule="auto"/>
        <w:textAlignment w:val="auto"/>
        <w:rPr>
          <w:szCs w:val="24"/>
        </w:rPr>
      </w:pPr>
      <w:r w:rsidRPr="001B1C75">
        <w:rPr>
          <w:szCs w:val="24"/>
          <w:u w:val="single"/>
        </w:rPr>
        <w:t xml:space="preserve">Immobilizzata </w:t>
      </w:r>
      <w:r w:rsidRPr="001B1C75">
        <w:rPr>
          <w:bCs/>
          <w:szCs w:val="24"/>
        </w:rPr>
        <w:t>di circa 18,8 milioni di euro</w:t>
      </w:r>
      <w:r w:rsidRPr="001B1C75">
        <w:rPr>
          <w:szCs w:val="24"/>
        </w:rPr>
        <w:t xml:space="preserve"> rappresentata dalla partecipazione in Cassa Depositi e Prestiti </w:t>
      </w:r>
      <w:proofErr w:type="spellStart"/>
      <w:r w:rsidRPr="001B1C75">
        <w:rPr>
          <w:szCs w:val="24"/>
        </w:rPr>
        <w:t>SpA</w:t>
      </w:r>
      <w:proofErr w:type="spellEnd"/>
      <w:r w:rsidRPr="001B1C75">
        <w:rPr>
          <w:szCs w:val="24"/>
        </w:rPr>
        <w:t xml:space="preserve">, in due Polizze Assicurative AVIVA </w:t>
      </w:r>
      <w:proofErr w:type="gramStart"/>
      <w:r w:rsidRPr="001B1C75">
        <w:rPr>
          <w:szCs w:val="24"/>
        </w:rPr>
        <w:t>e  in</w:t>
      </w:r>
      <w:proofErr w:type="gramEnd"/>
      <w:r w:rsidRPr="001B1C75">
        <w:rPr>
          <w:szCs w:val="24"/>
        </w:rPr>
        <w:t xml:space="preserve"> strumenti investiti all’interno di un conto amministrato: questo ultimo portafoglio</w:t>
      </w:r>
      <w:r w:rsidR="003F325B">
        <w:rPr>
          <w:szCs w:val="24"/>
        </w:rPr>
        <w:t>,</w:t>
      </w:r>
      <w:r w:rsidRPr="001B1C75">
        <w:rPr>
          <w:szCs w:val="24"/>
        </w:rPr>
        <w:t xml:space="preserve"> </w:t>
      </w:r>
      <w:r w:rsidRPr="001B1C75">
        <w:rPr>
          <w:bCs/>
          <w:szCs w:val="24"/>
        </w:rPr>
        <w:t>pari a  circa 13,2 milioni di euro</w:t>
      </w:r>
      <w:r w:rsidR="003F325B">
        <w:rPr>
          <w:bCs/>
          <w:szCs w:val="24"/>
        </w:rPr>
        <w:t>,</w:t>
      </w:r>
      <w:r w:rsidRPr="001B1C75">
        <w:rPr>
          <w:szCs w:val="24"/>
        </w:rPr>
        <w:t xml:space="preserve">  ha un  orizzonte temporale di 3/5 anni e  un  duplice obiettivo: assicurare  un adeguato  e costante flusso di cedole\dividendi e  non sottoporre  alla volatilità dei mercati  le valutazioni del portafoglio stesso. Il 91% di questo portafoglio </w:t>
      </w:r>
      <w:proofErr w:type="gramStart"/>
      <w:r w:rsidRPr="001B1C75">
        <w:rPr>
          <w:szCs w:val="24"/>
        </w:rPr>
        <w:t>è  a</w:t>
      </w:r>
      <w:proofErr w:type="gramEnd"/>
      <w:r w:rsidRPr="001B1C75">
        <w:rPr>
          <w:szCs w:val="24"/>
        </w:rPr>
        <w:t xml:space="preserve"> distribuzione il restante 9% ad accumulazione.</w:t>
      </w:r>
    </w:p>
    <w:p w:rsidR="001B1C75" w:rsidRPr="001B1C75" w:rsidRDefault="001B1C75" w:rsidP="001B1C75">
      <w:pPr>
        <w:pStyle w:val="Default"/>
        <w:jc w:val="both"/>
        <w:rPr>
          <w:rFonts w:ascii="Times New Roman" w:hAnsi="Times New Roman" w:cs="Times New Roman"/>
        </w:rPr>
      </w:pPr>
    </w:p>
    <w:p w:rsidR="001B1C75" w:rsidRPr="001B1C75" w:rsidRDefault="001B1C75" w:rsidP="001B1C75">
      <w:pPr>
        <w:pStyle w:val="Pidipagina"/>
        <w:numPr>
          <w:ilvl w:val="0"/>
          <w:numId w:val="36"/>
        </w:numPr>
        <w:overflowPunct/>
        <w:autoSpaceDE/>
        <w:autoSpaceDN/>
        <w:adjustRightInd/>
        <w:jc w:val="both"/>
        <w:textAlignment w:val="auto"/>
        <w:rPr>
          <w:sz w:val="24"/>
          <w:szCs w:val="24"/>
        </w:rPr>
      </w:pPr>
      <w:r w:rsidRPr="001B1C75">
        <w:rPr>
          <w:sz w:val="24"/>
          <w:szCs w:val="24"/>
          <w:u w:val="single"/>
        </w:rPr>
        <w:t>Libera</w:t>
      </w:r>
      <w:r w:rsidRPr="001B1C75">
        <w:rPr>
          <w:sz w:val="24"/>
          <w:szCs w:val="24"/>
        </w:rPr>
        <w:t xml:space="preserve"> di circa 26,7 milioni di </w:t>
      </w:r>
      <w:proofErr w:type="gramStart"/>
      <w:r w:rsidRPr="001B1C75">
        <w:rPr>
          <w:sz w:val="24"/>
          <w:szCs w:val="24"/>
        </w:rPr>
        <w:t>euro  rappresentata</w:t>
      </w:r>
      <w:proofErr w:type="gramEnd"/>
      <w:r w:rsidRPr="001B1C75">
        <w:rPr>
          <w:sz w:val="24"/>
          <w:szCs w:val="24"/>
        </w:rPr>
        <w:t xml:space="preserve"> dalle tre gestioni Banca Profilo, Eurizon e Banca Generali ( già </w:t>
      </w:r>
      <w:proofErr w:type="spellStart"/>
      <w:r w:rsidRPr="001B1C75">
        <w:rPr>
          <w:sz w:val="24"/>
          <w:szCs w:val="24"/>
        </w:rPr>
        <w:t>Nextam</w:t>
      </w:r>
      <w:proofErr w:type="spellEnd"/>
      <w:r w:rsidRPr="001B1C75">
        <w:rPr>
          <w:sz w:val="24"/>
          <w:szCs w:val="24"/>
        </w:rPr>
        <w:t xml:space="preserve"> Partners SGR ) con   mandati di gestione patrimoniale in titoli mobiliari secondo orizzonti temporali di medio periodo  con una propensione al rischio medio/bassa. I mandati di </w:t>
      </w:r>
      <w:proofErr w:type="gramStart"/>
      <w:r w:rsidRPr="001B1C75">
        <w:rPr>
          <w:sz w:val="24"/>
          <w:szCs w:val="24"/>
        </w:rPr>
        <w:t>gestione  prevedono</w:t>
      </w:r>
      <w:proofErr w:type="gramEnd"/>
      <w:r w:rsidRPr="001B1C75">
        <w:rPr>
          <w:sz w:val="24"/>
          <w:szCs w:val="24"/>
        </w:rPr>
        <w:t xml:space="preserve"> una  opportuna diversificazione al fine di contenere i rischi di investimento a fronte del comportamento dei mercati e degli obiettivi di rendimento previsti, con  una particolare attenzione nel   contenimento dei costi.</w:t>
      </w:r>
    </w:p>
    <w:p w:rsidR="001B1C75" w:rsidRDefault="001B1C75" w:rsidP="001B1C75">
      <w:pPr>
        <w:pStyle w:val="PreformattatoHTML"/>
        <w:jc w:val="both"/>
        <w:rPr>
          <w:rFonts w:ascii="Times New Roman" w:hAnsi="Times New Roman" w:cs="Times New Roman"/>
          <w:sz w:val="24"/>
          <w:szCs w:val="24"/>
        </w:rPr>
      </w:pPr>
    </w:p>
    <w:p w:rsidR="001B1C75" w:rsidRPr="00A569DA" w:rsidRDefault="001B1C75" w:rsidP="001B1C75">
      <w:pPr>
        <w:pStyle w:val="PreformattatoHTML"/>
        <w:jc w:val="both"/>
        <w:rPr>
          <w:rFonts w:ascii="Times New Roman" w:hAnsi="Times New Roman" w:cs="Times New Roman"/>
          <w:sz w:val="24"/>
          <w:szCs w:val="24"/>
        </w:rPr>
      </w:pPr>
      <w:r w:rsidRPr="00A569DA">
        <w:rPr>
          <w:rFonts w:ascii="Times New Roman" w:hAnsi="Times New Roman" w:cs="Times New Roman"/>
          <w:sz w:val="24"/>
          <w:szCs w:val="24"/>
        </w:rPr>
        <w:t>La percentuale di composizione degli asset è la seguente</w:t>
      </w:r>
      <w:r w:rsidRPr="00A569DA">
        <w:rPr>
          <w:rFonts w:ascii="Times New Roman" w:eastAsia="Book Antiqua" w:hAnsi="Times New Roman" w:cs="Times New Roman"/>
          <w:sz w:val="24"/>
          <w:szCs w:val="24"/>
        </w:rPr>
        <w:t xml:space="preserve"> (al 31 agosto 2020):</w:t>
      </w:r>
    </w:p>
    <w:p w:rsidR="001B1C75" w:rsidRPr="00C11175" w:rsidRDefault="001B1C75" w:rsidP="001B1C75">
      <w:pPr>
        <w:spacing w:line="259" w:lineRule="auto"/>
      </w:pPr>
    </w:p>
    <w:tbl>
      <w:tblPr>
        <w:tblStyle w:val="TableGrid"/>
        <w:tblW w:w="52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right w:w="86" w:type="dxa"/>
        </w:tblCellMar>
        <w:tblLook w:val="04A0" w:firstRow="1" w:lastRow="0" w:firstColumn="1" w:lastColumn="0" w:noHBand="0" w:noVBand="1"/>
      </w:tblPr>
      <w:tblGrid>
        <w:gridCol w:w="2827"/>
        <w:gridCol w:w="1279"/>
        <w:gridCol w:w="1135"/>
      </w:tblGrid>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44"/>
              <w:rPr>
                <w:rFonts w:ascii="Times New Roman" w:hAnsi="Times New Roman"/>
                <w:b/>
                <w:sz w:val="20"/>
              </w:rPr>
            </w:pPr>
            <w:r w:rsidRPr="001B1C75">
              <w:rPr>
                <w:rFonts w:ascii="Times New Roman" w:eastAsia="Book Antiqua" w:hAnsi="Times New Roman"/>
                <w:b/>
                <w:sz w:val="20"/>
              </w:rPr>
              <w:t>Descrizione</w:t>
            </w:r>
          </w:p>
        </w:tc>
        <w:tc>
          <w:tcPr>
            <w:tcW w:w="1279" w:type="dxa"/>
            <w:shd w:val="clear" w:color="auto" w:fill="auto"/>
          </w:tcPr>
          <w:p w:rsidR="001B1C75" w:rsidRPr="001B1C75" w:rsidRDefault="001B1C75" w:rsidP="001B1C75">
            <w:pPr>
              <w:spacing w:line="259" w:lineRule="auto"/>
              <w:jc w:val="center"/>
              <w:rPr>
                <w:rFonts w:ascii="Times New Roman" w:hAnsi="Times New Roman"/>
                <w:b/>
                <w:sz w:val="20"/>
              </w:rPr>
            </w:pPr>
            <w:r w:rsidRPr="001B1C75">
              <w:rPr>
                <w:rFonts w:ascii="Times New Roman" w:eastAsia="Book Antiqua" w:hAnsi="Times New Roman"/>
                <w:b/>
                <w:sz w:val="20"/>
              </w:rPr>
              <w:t xml:space="preserve">         </w:t>
            </w:r>
            <w:proofErr w:type="spellStart"/>
            <w:r w:rsidRPr="001B1C75">
              <w:rPr>
                <w:rFonts w:ascii="Times New Roman" w:eastAsia="Book Antiqua" w:hAnsi="Times New Roman"/>
                <w:b/>
                <w:sz w:val="20"/>
              </w:rPr>
              <w:t>Ctv</w:t>
            </w:r>
            <w:proofErr w:type="spellEnd"/>
          </w:p>
        </w:tc>
        <w:tc>
          <w:tcPr>
            <w:tcW w:w="1135" w:type="dxa"/>
            <w:shd w:val="clear" w:color="auto" w:fill="auto"/>
          </w:tcPr>
          <w:p w:rsidR="001B1C75" w:rsidRPr="001B1C75" w:rsidRDefault="001B1C75" w:rsidP="001B1C75">
            <w:pPr>
              <w:spacing w:line="259" w:lineRule="auto"/>
              <w:ind w:left="-3" w:right="52" w:firstLine="3"/>
              <w:jc w:val="center"/>
              <w:rPr>
                <w:rFonts w:ascii="Times New Roman" w:hAnsi="Times New Roman"/>
                <w:b/>
                <w:sz w:val="20"/>
              </w:rPr>
            </w:pPr>
            <w:r w:rsidRPr="001B1C75">
              <w:rPr>
                <w:rFonts w:ascii="Times New Roman" w:eastAsia="Book Antiqua" w:hAnsi="Times New Roman"/>
                <w:b/>
                <w:sz w:val="20"/>
              </w:rPr>
              <w:t xml:space="preserve">  </w:t>
            </w:r>
            <w:proofErr w:type="spellStart"/>
            <w:r w:rsidRPr="001B1C75">
              <w:rPr>
                <w:rFonts w:ascii="Times New Roman" w:eastAsia="Book Antiqua" w:hAnsi="Times New Roman"/>
                <w:b/>
                <w:sz w:val="20"/>
              </w:rPr>
              <w:t>Ptf</w:t>
            </w:r>
            <w:proofErr w:type="spellEnd"/>
            <w:r w:rsidRPr="001B1C75">
              <w:rPr>
                <w:rFonts w:ascii="Times New Roman" w:eastAsia="Book Antiqua" w:hAnsi="Times New Roman"/>
                <w:b/>
                <w:sz w:val="20"/>
              </w:rPr>
              <w:t xml:space="preserve"> %</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Pr>
                <w:rFonts w:ascii="Times New Roman" w:hAnsi="Times New Roman"/>
                <w:b/>
                <w:sz w:val="20"/>
                <w:u w:val="single"/>
              </w:rPr>
            </w:pPr>
            <w:r w:rsidRPr="001B1C75">
              <w:rPr>
                <w:rFonts w:ascii="Times New Roman" w:eastAsia="Book Antiqua" w:hAnsi="Times New Roman"/>
                <w:b/>
                <w:sz w:val="20"/>
                <w:u w:val="single"/>
              </w:rPr>
              <w:t>Portafoglio Libero</w:t>
            </w:r>
          </w:p>
        </w:tc>
        <w:tc>
          <w:tcPr>
            <w:tcW w:w="1279" w:type="dxa"/>
            <w:shd w:val="clear" w:color="auto" w:fill="auto"/>
          </w:tcPr>
          <w:p w:rsidR="001B1C75" w:rsidRPr="001B1C75" w:rsidRDefault="001B1C75" w:rsidP="001B1C75">
            <w:pPr>
              <w:spacing w:line="259" w:lineRule="auto"/>
              <w:jc w:val="right"/>
              <w:rPr>
                <w:rFonts w:ascii="Times New Roman" w:hAnsi="Times New Roman"/>
                <w:b/>
                <w:sz w:val="20"/>
              </w:rPr>
            </w:pPr>
            <w:r w:rsidRPr="001B1C75">
              <w:rPr>
                <w:rFonts w:ascii="Times New Roman" w:eastAsia="Book Antiqua" w:hAnsi="Times New Roman"/>
                <w:b/>
                <w:sz w:val="20"/>
              </w:rPr>
              <w:t>26.738.933</w:t>
            </w:r>
          </w:p>
        </w:tc>
        <w:tc>
          <w:tcPr>
            <w:tcW w:w="1135" w:type="dxa"/>
            <w:shd w:val="clear" w:color="auto" w:fill="auto"/>
          </w:tcPr>
          <w:p w:rsidR="001B1C75" w:rsidRPr="001B1C75" w:rsidRDefault="001B1C75" w:rsidP="001B1C75">
            <w:pPr>
              <w:spacing w:line="259" w:lineRule="auto"/>
              <w:ind w:left="120"/>
              <w:jc w:val="right"/>
              <w:rPr>
                <w:rFonts w:ascii="Times New Roman" w:hAnsi="Times New Roman"/>
                <w:b/>
                <w:sz w:val="20"/>
              </w:rPr>
            </w:pPr>
            <w:r w:rsidRPr="001B1C75">
              <w:rPr>
                <w:rFonts w:ascii="Times New Roman" w:eastAsia="Book Antiqua" w:hAnsi="Times New Roman"/>
                <w:b/>
                <w:sz w:val="20"/>
              </w:rPr>
              <w:t>58,7%</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110"/>
              <w:rPr>
                <w:rFonts w:ascii="Times New Roman" w:hAnsi="Times New Roman"/>
                <w:sz w:val="20"/>
              </w:rPr>
            </w:pPr>
            <w:r w:rsidRPr="001B1C75">
              <w:rPr>
                <w:rFonts w:ascii="Times New Roman" w:eastAsia="Book Antiqua" w:hAnsi="Times New Roman"/>
                <w:sz w:val="20"/>
              </w:rPr>
              <w:t>Azioni Direzionali</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2.764.174</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6,1%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108"/>
              <w:rPr>
                <w:rFonts w:ascii="Times New Roman" w:hAnsi="Times New Roman"/>
                <w:sz w:val="20"/>
              </w:rPr>
            </w:pPr>
            <w:r w:rsidRPr="001B1C75">
              <w:rPr>
                <w:rFonts w:ascii="Times New Roman" w:eastAsia="Book Antiqua" w:hAnsi="Times New Roman"/>
                <w:sz w:val="20"/>
              </w:rPr>
              <w:t>Bilanciati</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1.877.212</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4,1%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113"/>
              <w:rPr>
                <w:rFonts w:ascii="Times New Roman" w:hAnsi="Times New Roman"/>
                <w:sz w:val="20"/>
              </w:rPr>
            </w:pPr>
            <w:r w:rsidRPr="001B1C75">
              <w:rPr>
                <w:rFonts w:ascii="Times New Roman" w:eastAsia="Book Antiqua" w:hAnsi="Times New Roman"/>
                <w:sz w:val="20"/>
              </w:rPr>
              <w:t>Hedge</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699.657</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1,5%</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Pr>
                <w:rFonts w:ascii="Times New Roman" w:hAnsi="Times New Roman"/>
                <w:sz w:val="20"/>
              </w:rPr>
            </w:pPr>
            <w:r w:rsidRPr="001B1C75">
              <w:rPr>
                <w:rFonts w:ascii="Times New Roman" w:eastAsia="Book Antiqua" w:hAnsi="Times New Roman"/>
                <w:sz w:val="20"/>
              </w:rPr>
              <w:t>Altri Strumenti Alternativi</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511.818</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1,1%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118"/>
              <w:rPr>
                <w:rFonts w:ascii="Times New Roman" w:hAnsi="Times New Roman"/>
                <w:sz w:val="20"/>
              </w:rPr>
            </w:pPr>
            <w:r w:rsidRPr="001B1C75">
              <w:rPr>
                <w:rFonts w:ascii="Times New Roman" w:eastAsia="Book Antiqua" w:hAnsi="Times New Roman"/>
                <w:sz w:val="20"/>
              </w:rPr>
              <w:t>Obbligazioni Governative</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9.844.655</w:t>
            </w:r>
          </w:p>
        </w:tc>
        <w:tc>
          <w:tcPr>
            <w:tcW w:w="1135" w:type="dxa"/>
            <w:shd w:val="clear" w:color="auto" w:fill="auto"/>
          </w:tcPr>
          <w:p w:rsidR="001B1C75" w:rsidRPr="001B1C75" w:rsidRDefault="001B1C75" w:rsidP="001B1C75">
            <w:pPr>
              <w:spacing w:line="259" w:lineRule="auto"/>
              <w:ind w:left="120"/>
              <w:jc w:val="right"/>
              <w:rPr>
                <w:rFonts w:ascii="Times New Roman" w:hAnsi="Times New Roman"/>
                <w:sz w:val="20"/>
              </w:rPr>
            </w:pPr>
            <w:r w:rsidRPr="001B1C75">
              <w:rPr>
                <w:rFonts w:ascii="Times New Roman" w:hAnsi="Times New Roman"/>
                <w:sz w:val="20"/>
              </w:rPr>
              <w:t>21,6%</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134" w:right="117"/>
              <w:rPr>
                <w:rFonts w:ascii="Times New Roman" w:hAnsi="Times New Roman"/>
                <w:sz w:val="20"/>
              </w:rPr>
            </w:pPr>
            <w:r w:rsidRPr="001B1C75">
              <w:rPr>
                <w:rFonts w:ascii="Times New Roman" w:eastAsia="Book Antiqua" w:hAnsi="Times New Roman"/>
                <w:sz w:val="20"/>
              </w:rPr>
              <w:t>Obbligazioni Societarie</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5.530.011</w:t>
            </w:r>
          </w:p>
        </w:tc>
        <w:tc>
          <w:tcPr>
            <w:tcW w:w="1135" w:type="dxa"/>
            <w:shd w:val="clear" w:color="auto" w:fill="auto"/>
          </w:tcPr>
          <w:p w:rsidR="001B1C75" w:rsidRPr="001B1C75" w:rsidRDefault="001B1C75" w:rsidP="001B1C75">
            <w:pPr>
              <w:spacing w:line="259" w:lineRule="auto"/>
              <w:ind w:left="120"/>
              <w:jc w:val="right"/>
              <w:rPr>
                <w:rFonts w:ascii="Times New Roman" w:hAnsi="Times New Roman"/>
                <w:sz w:val="20"/>
              </w:rPr>
            </w:pPr>
            <w:r w:rsidRPr="001B1C75">
              <w:rPr>
                <w:rFonts w:ascii="Times New Roman" w:hAnsi="Times New Roman"/>
                <w:sz w:val="20"/>
              </w:rPr>
              <w:t>12,1%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right="122" w:hanging="142"/>
              <w:rPr>
                <w:rFonts w:ascii="Times New Roman" w:hAnsi="Times New Roman"/>
                <w:sz w:val="20"/>
              </w:rPr>
            </w:pPr>
            <w:r w:rsidRPr="001B1C75">
              <w:rPr>
                <w:rFonts w:ascii="Times New Roman" w:eastAsia="Book Antiqua" w:hAnsi="Times New Roman"/>
                <w:sz w:val="20"/>
              </w:rPr>
              <w:lastRenderedPageBreak/>
              <w:t>Obbligazioni High Yield</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1.370.050</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3,0%</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right="112" w:hanging="142"/>
              <w:rPr>
                <w:rFonts w:ascii="Times New Roman" w:hAnsi="Times New Roman"/>
                <w:sz w:val="20"/>
              </w:rPr>
            </w:pPr>
            <w:r w:rsidRPr="001B1C75">
              <w:rPr>
                <w:rFonts w:ascii="Times New Roman" w:eastAsia="Book Antiqua" w:hAnsi="Times New Roman"/>
                <w:sz w:val="20"/>
              </w:rPr>
              <w:t>Obbligazioni Emergenti</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48.166</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0,1%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sz w:val="20"/>
              </w:rPr>
            </w:pPr>
            <w:r w:rsidRPr="001B1C75">
              <w:rPr>
                <w:rFonts w:ascii="Times New Roman" w:eastAsia="Book Antiqua" w:hAnsi="Times New Roman"/>
                <w:sz w:val="20"/>
              </w:rPr>
              <w:t>Liquidità/ Strumenti Monetari</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4.093.191</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9,0%</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b/>
                <w:sz w:val="20"/>
                <w:u w:val="single"/>
              </w:rPr>
            </w:pPr>
            <w:r w:rsidRPr="001B1C75">
              <w:rPr>
                <w:rFonts w:ascii="Times New Roman" w:eastAsia="Book Antiqua" w:hAnsi="Times New Roman"/>
                <w:b/>
                <w:sz w:val="20"/>
                <w:u w:val="single"/>
              </w:rPr>
              <w:t>Portafoglio Immobilizzato</w:t>
            </w:r>
          </w:p>
        </w:tc>
        <w:tc>
          <w:tcPr>
            <w:tcW w:w="1279" w:type="dxa"/>
            <w:shd w:val="clear" w:color="auto" w:fill="auto"/>
          </w:tcPr>
          <w:p w:rsidR="001B1C75" w:rsidRPr="001B1C75" w:rsidRDefault="001B1C75" w:rsidP="001B1C75">
            <w:pPr>
              <w:spacing w:line="259" w:lineRule="auto"/>
              <w:jc w:val="right"/>
              <w:rPr>
                <w:rFonts w:ascii="Times New Roman" w:hAnsi="Times New Roman"/>
                <w:b/>
                <w:sz w:val="20"/>
              </w:rPr>
            </w:pPr>
            <w:r w:rsidRPr="001B1C75">
              <w:rPr>
                <w:rFonts w:ascii="Times New Roman" w:eastAsia="Book Antiqua" w:hAnsi="Times New Roman"/>
                <w:b/>
                <w:sz w:val="20"/>
              </w:rPr>
              <w:t>18.822.608</w:t>
            </w:r>
          </w:p>
        </w:tc>
        <w:tc>
          <w:tcPr>
            <w:tcW w:w="1135" w:type="dxa"/>
            <w:shd w:val="clear" w:color="auto" w:fill="auto"/>
          </w:tcPr>
          <w:p w:rsidR="001B1C75" w:rsidRPr="001B1C75" w:rsidRDefault="001B1C75" w:rsidP="001B1C75">
            <w:pPr>
              <w:spacing w:line="259" w:lineRule="auto"/>
              <w:ind w:left="120"/>
              <w:jc w:val="right"/>
              <w:rPr>
                <w:rFonts w:ascii="Times New Roman" w:hAnsi="Times New Roman"/>
                <w:b/>
                <w:sz w:val="20"/>
              </w:rPr>
            </w:pPr>
            <w:r w:rsidRPr="001B1C75">
              <w:rPr>
                <w:rFonts w:ascii="Times New Roman" w:eastAsia="Book Antiqua" w:hAnsi="Times New Roman"/>
                <w:b/>
                <w:sz w:val="20"/>
              </w:rPr>
              <w:t>41,3%</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sz w:val="20"/>
              </w:rPr>
            </w:pPr>
            <w:r w:rsidRPr="001B1C75">
              <w:rPr>
                <w:rFonts w:ascii="Times New Roman" w:hAnsi="Times New Roman"/>
                <w:sz w:val="20"/>
              </w:rPr>
              <w:t>Polizze Assicurative</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2.088.607</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4,6%</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sz w:val="20"/>
              </w:rPr>
            </w:pPr>
            <w:r w:rsidRPr="001B1C75">
              <w:rPr>
                <w:rFonts w:ascii="Times New Roman" w:hAnsi="Times New Roman"/>
                <w:sz w:val="20"/>
              </w:rPr>
              <w:t>CDP</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3.488.563</w:t>
            </w:r>
          </w:p>
        </w:tc>
        <w:tc>
          <w:tcPr>
            <w:tcW w:w="1135" w:type="dxa"/>
            <w:shd w:val="clear" w:color="auto" w:fill="auto"/>
          </w:tcPr>
          <w:p w:rsidR="001B1C75" w:rsidRPr="001B1C75" w:rsidRDefault="001B1C75" w:rsidP="001B1C75">
            <w:pPr>
              <w:spacing w:line="259" w:lineRule="auto"/>
              <w:ind w:left="180"/>
              <w:jc w:val="right"/>
              <w:rPr>
                <w:rFonts w:ascii="Times New Roman" w:hAnsi="Times New Roman"/>
                <w:sz w:val="20"/>
              </w:rPr>
            </w:pPr>
            <w:r w:rsidRPr="001B1C75">
              <w:rPr>
                <w:rFonts w:ascii="Times New Roman" w:hAnsi="Times New Roman"/>
                <w:sz w:val="20"/>
              </w:rPr>
              <w:t>7,7%</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sz w:val="20"/>
              </w:rPr>
            </w:pPr>
            <w:r w:rsidRPr="001B1C75">
              <w:rPr>
                <w:rFonts w:ascii="Times New Roman" w:hAnsi="Times New Roman"/>
                <w:sz w:val="20"/>
              </w:rPr>
              <w:t>Conto Amministrato</w:t>
            </w:r>
          </w:p>
        </w:tc>
        <w:tc>
          <w:tcPr>
            <w:tcW w:w="1279" w:type="dxa"/>
            <w:shd w:val="clear" w:color="auto" w:fill="auto"/>
          </w:tcPr>
          <w:p w:rsidR="001B1C75" w:rsidRPr="001B1C75" w:rsidRDefault="001B1C75" w:rsidP="001B1C75">
            <w:pPr>
              <w:spacing w:line="259" w:lineRule="auto"/>
              <w:ind w:left="15"/>
              <w:jc w:val="right"/>
              <w:rPr>
                <w:rFonts w:ascii="Times New Roman" w:hAnsi="Times New Roman"/>
                <w:sz w:val="20"/>
              </w:rPr>
            </w:pPr>
            <w:r w:rsidRPr="001B1C75">
              <w:rPr>
                <w:rFonts w:ascii="Times New Roman" w:hAnsi="Times New Roman"/>
                <w:sz w:val="20"/>
              </w:rPr>
              <w:t>13.245.439</w:t>
            </w:r>
          </w:p>
        </w:tc>
        <w:tc>
          <w:tcPr>
            <w:tcW w:w="1135" w:type="dxa"/>
            <w:shd w:val="clear" w:color="auto" w:fill="auto"/>
          </w:tcPr>
          <w:p w:rsidR="001B1C75" w:rsidRPr="001B1C75" w:rsidRDefault="001B1C75" w:rsidP="001B1C75">
            <w:pPr>
              <w:spacing w:line="259" w:lineRule="auto"/>
              <w:ind w:left="120"/>
              <w:jc w:val="right"/>
              <w:rPr>
                <w:rFonts w:ascii="Times New Roman" w:hAnsi="Times New Roman"/>
                <w:sz w:val="20"/>
              </w:rPr>
            </w:pPr>
            <w:r w:rsidRPr="001B1C75">
              <w:rPr>
                <w:rFonts w:ascii="Times New Roman" w:hAnsi="Times New Roman"/>
                <w:sz w:val="20"/>
              </w:rPr>
              <w:t>29,1%</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right="107" w:hanging="142"/>
              <w:jc w:val="center"/>
              <w:rPr>
                <w:rFonts w:ascii="Times New Roman" w:hAnsi="Times New Roman"/>
                <w:sz w:val="20"/>
              </w:rPr>
            </w:pPr>
            <w:r w:rsidRPr="001B1C75">
              <w:rPr>
                <w:rFonts w:ascii="Times New Roman" w:eastAsia="Book Antiqua" w:hAnsi="Times New Roman"/>
                <w:i/>
                <w:sz w:val="20"/>
              </w:rPr>
              <w:t>Azioni</w:t>
            </w:r>
          </w:p>
        </w:tc>
        <w:tc>
          <w:tcPr>
            <w:tcW w:w="1279" w:type="dxa"/>
            <w:shd w:val="clear" w:color="auto" w:fill="auto"/>
          </w:tcPr>
          <w:p w:rsidR="001B1C75" w:rsidRPr="001B1C75" w:rsidRDefault="001B1C75" w:rsidP="001B1C75">
            <w:pPr>
              <w:spacing w:line="259" w:lineRule="auto"/>
              <w:ind w:left="30"/>
              <w:jc w:val="center"/>
              <w:rPr>
                <w:rFonts w:ascii="Times New Roman" w:hAnsi="Times New Roman"/>
                <w:sz w:val="20"/>
              </w:rPr>
            </w:pPr>
            <w:r w:rsidRPr="001B1C75">
              <w:rPr>
                <w:rFonts w:ascii="Times New Roman" w:eastAsia="Book Antiqua" w:hAnsi="Times New Roman"/>
                <w:i/>
                <w:sz w:val="20"/>
              </w:rPr>
              <w:t>9.426.042</w:t>
            </w:r>
          </w:p>
        </w:tc>
        <w:tc>
          <w:tcPr>
            <w:tcW w:w="1135" w:type="dxa"/>
            <w:shd w:val="clear" w:color="auto" w:fill="auto"/>
          </w:tcPr>
          <w:p w:rsidR="001B1C75" w:rsidRPr="001B1C75" w:rsidRDefault="001B1C75" w:rsidP="001B1C75">
            <w:pPr>
              <w:spacing w:line="259" w:lineRule="auto"/>
              <w:ind w:right="1"/>
              <w:jc w:val="center"/>
              <w:rPr>
                <w:rFonts w:ascii="Times New Roman" w:hAnsi="Times New Roman"/>
                <w:sz w:val="20"/>
              </w:rPr>
            </w:pPr>
            <w:r w:rsidRPr="001B1C75">
              <w:rPr>
                <w:rFonts w:ascii="Times New Roman" w:eastAsia="Book Antiqua" w:hAnsi="Times New Roman"/>
                <w:i/>
                <w:sz w:val="20"/>
              </w:rPr>
              <w:t>20,7%</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right="117" w:hanging="142"/>
              <w:jc w:val="center"/>
              <w:rPr>
                <w:rFonts w:ascii="Times New Roman" w:hAnsi="Times New Roman"/>
                <w:sz w:val="20"/>
              </w:rPr>
            </w:pPr>
            <w:r w:rsidRPr="001B1C75">
              <w:rPr>
                <w:rFonts w:ascii="Times New Roman" w:eastAsia="Book Antiqua" w:hAnsi="Times New Roman"/>
                <w:i/>
                <w:sz w:val="20"/>
              </w:rPr>
              <w:t>Bond</w:t>
            </w:r>
          </w:p>
        </w:tc>
        <w:tc>
          <w:tcPr>
            <w:tcW w:w="1279" w:type="dxa"/>
            <w:shd w:val="clear" w:color="auto" w:fill="auto"/>
          </w:tcPr>
          <w:p w:rsidR="001B1C75" w:rsidRPr="001B1C75" w:rsidRDefault="001B1C75" w:rsidP="001B1C75">
            <w:pPr>
              <w:spacing w:line="259" w:lineRule="auto"/>
              <w:ind w:left="30"/>
              <w:jc w:val="center"/>
              <w:rPr>
                <w:rFonts w:ascii="Times New Roman" w:hAnsi="Times New Roman"/>
                <w:sz w:val="20"/>
              </w:rPr>
            </w:pPr>
            <w:r w:rsidRPr="001B1C75">
              <w:rPr>
                <w:rFonts w:ascii="Times New Roman" w:eastAsia="Book Antiqua" w:hAnsi="Times New Roman"/>
                <w:i/>
                <w:sz w:val="20"/>
              </w:rPr>
              <w:t>3.469.124</w:t>
            </w:r>
          </w:p>
        </w:tc>
        <w:tc>
          <w:tcPr>
            <w:tcW w:w="1135" w:type="dxa"/>
            <w:shd w:val="clear" w:color="auto" w:fill="auto"/>
          </w:tcPr>
          <w:p w:rsidR="001B1C75" w:rsidRPr="001B1C75" w:rsidRDefault="001B1C75" w:rsidP="001B1C75">
            <w:pPr>
              <w:spacing w:line="259" w:lineRule="auto"/>
              <w:jc w:val="center"/>
              <w:rPr>
                <w:rFonts w:ascii="Times New Roman" w:hAnsi="Times New Roman"/>
                <w:sz w:val="20"/>
              </w:rPr>
            </w:pPr>
            <w:r w:rsidRPr="001B1C75">
              <w:rPr>
                <w:rFonts w:ascii="Times New Roman" w:eastAsia="Book Antiqua" w:hAnsi="Times New Roman"/>
                <w:i/>
                <w:sz w:val="20"/>
              </w:rPr>
              <w:t>7,6%</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right="114" w:hanging="142"/>
              <w:jc w:val="center"/>
              <w:rPr>
                <w:rFonts w:ascii="Times New Roman" w:hAnsi="Times New Roman"/>
                <w:sz w:val="20"/>
              </w:rPr>
            </w:pPr>
            <w:r w:rsidRPr="001B1C75">
              <w:rPr>
                <w:rFonts w:ascii="Times New Roman" w:eastAsia="Book Antiqua" w:hAnsi="Times New Roman"/>
                <w:i/>
                <w:sz w:val="20"/>
              </w:rPr>
              <w:t>Immobiliare</w:t>
            </w:r>
          </w:p>
        </w:tc>
        <w:tc>
          <w:tcPr>
            <w:tcW w:w="1279" w:type="dxa"/>
            <w:shd w:val="clear" w:color="auto" w:fill="auto"/>
          </w:tcPr>
          <w:p w:rsidR="001B1C75" w:rsidRPr="001B1C75" w:rsidRDefault="001B1C75" w:rsidP="001B1C75">
            <w:pPr>
              <w:spacing w:line="259" w:lineRule="auto"/>
              <w:ind w:left="30"/>
              <w:jc w:val="center"/>
              <w:rPr>
                <w:rFonts w:ascii="Times New Roman" w:hAnsi="Times New Roman"/>
                <w:sz w:val="20"/>
              </w:rPr>
            </w:pPr>
            <w:r w:rsidRPr="001B1C75">
              <w:rPr>
                <w:rFonts w:ascii="Times New Roman" w:eastAsia="Book Antiqua" w:hAnsi="Times New Roman"/>
                <w:i/>
                <w:sz w:val="20"/>
              </w:rPr>
              <w:t>350.273</w:t>
            </w:r>
          </w:p>
        </w:tc>
        <w:tc>
          <w:tcPr>
            <w:tcW w:w="1135" w:type="dxa"/>
            <w:shd w:val="clear" w:color="auto" w:fill="auto"/>
          </w:tcPr>
          <w:p w:rsidR="001B1C75" w:rsidRPr="001B1C75" w:rsidRDefault="001B1C75" w:rsidP="001B1C75">
            <w:pPr>
              <w:spacing w:line="259" w:lineRule="auto"/>
              <w:jc w:val="center"/>
              <w:rPr>
                <w:rFonts w:ascii="Times New Roman" w:hAnsi="Times New Roman"/>
                <w:sz w:val="20"/>
              </w:rPr>
            </w:pPr>
            <w:r w:rsidRPr="001B1C75">
              <w:rPr>
                <w:rFonts w:ascii="Times New Roman" w:eastAsia="Book Antiqua" w:hAnsi="Times New Roman"/>
                <w:i/>
                <w:sz w:val="20"/>
              </w:rPr>
              <w:t>0,8%</w:t>
            </w:r>
          </w:p>
        </w:tc>
      </w:tr>
      <w:tr w:rsidR="001B1C75" w:rsidRPr="00A569DA" w:rsidTr="003F325B">
        <w:trPr>
          <w:trHeight w:hRule="exact" w:val="340"/>
        </w:trPr>
        <w:tc>
          <w:tcPr>
            <w:tcW w:w="2827" w:type="dxa"/>
            <w:shd w:val="clear" w:color="auto" w:fill="auto"/>
          </w:tcPr>
          <w:p w:rsidR="001B1C75" w:rsidRPr="001B1C75" w:rsidRDefault="001B1C75" w:rsidP="003F325B">
            <w:pPr>
              <w:spacing w:line="259" w:lineRule="auto"/>
              <w:ind w:left="276" w:hanging="142"/>
              <w:rPr>
                <w:rFonts w:ascii="Times New Roman" w:hAnsi="Times New Roman"/>
                <w:b/>
                <w:sz w:val="20"/>
              </w:rPr>
            </w:pPr>
            <w:r w:rsidRPr="001B1C75">
              <w:rPr>
                <w:rFonts w:ascii="Times New Roman" w:eastAsia="Book Antiqua" w:hAnsi="Times New Roman"/>
                <w:b/>
                <w:sz w:val="20"/>
              </w:rPr>
              <w:t>TOTALE</w:t>
            </w:r>
          </w:p>
        </w:tc>
        <w:tc>
          <w:tcPr>
            <w:tcW w:w="1279" w:type="dxa"/>
            <w:shd w:val="clear" w:color="auto" w:fill="auto"/>
          </w:tcPr>
          <w:p w:rsidR="001B1C75" w:rsidRPr="001B1C75" w:rsidRDefault="001B1C75" w:rsidP="001B1C75">
            <w:pPr>
              <w:spacing w:line="259" w:lineRule="auto"/>
              <w:jc w:val="right"/>
              <w:rPr>
                <w:rFonts w:ascii="Times New Roman" w:hAnsi="Times New Roman"/>
                <w:b/>
                <w:sz w:val="20"/>
              </w:rPr>
            </w:pPr>
            <w:r w:rsidRPr="001B1C75">
              <w:rPr>
                <w:rFonts w:ascii="Times New Roman" w:eastAsia="Book Antiqua" w:hAnsi="Times New Roman"/>
                <w:b/>
                <w:sz w:val="20"/>
              </w:rPr>
              <w:t>45.561.542</w:t>
            </w:r>
          </w:p>
        </w:tc>
        <w:tc>
          <w:tcPr>
            <w:tcW w:w="1135" w:type="dxa"/>
            <w:shd w:val="clear" w:color="auto" w:fill="auto"/>
          </w:tcPr>
          <w:p w:rsidR="001B1C75" w:rsidRPr="001B1C75" w:rsidRDefault="001B1C75" w:rsidP="001B1C75">
            <w:pPr>
              <w:spacing w:line="259" w:lineRule="auto"/>
              <w:jc w:val="right"/>
              <w:rPr>
                <w:rFonts w:ascii="Times New Roman" w:hAnsi="Times New Roman"/>
                <w:b/>
                <w:sz w:val="20"/>
              </w:rPr>
            </w:pPr>
            <w:r w:rsidRPr="001B1C75">
              <w:rPr>
                <w:rFonts w:ascii="Times New Roman" w:eastAsia="Book Antiqua" w:hAnsi="Times New Roman"/>
                <w:b/>
                <w:sz w:val="20"/>
              </w:rPr>
              <w:t>100,00%</w:t>
            </w:r>
          </w:p>
        </w:tc>
      </w:tr>
    </w:tbl>
    <w:p w:rsidR="001B1C75" w:rsidRPr="00C11175" w:rsidRDefault="001B1C75" w:rsidP="001B1C75">
      <w:pPr>
        <w:spacing w:after="112" w:line="259" w:lineRule="auto"/>
        <w:jc w:val="center"/>
        <w:rPr>
          <w:sz w:val="22"/>
          <w:szCs w:val="22"/>
        </w:rPr>
      </w:pPr>
    </w:p>
    <w:p w:rsidR="001B1C75" w:rsidRDefault="001B1C75" w:rsidP="001B1C75">
      <w:pPr>
        <w:pStyle w:val="PreformattatoHTML"/>
        <w:jc w:val="both"/>
        <w:rPr>
          <w:rFonts w:ascii="Times New Roman" w:hAnsi="Times New Roman" w:cs="Times New Roman"/>
          <w:sz w:val="24"/>
          <w:szCs w:val="24"/>
        </w:rPr>
      </w:pPr>
    </w:p>
    <w:p w:rsidR="009647D1" w:rsidRPr="009647D1" w:rsidRDefault="009647D1" w:rsidP="009647D1">
      <w:pPr>
        <w:pStyle w:val="xmsonormal"/>
        <w:widowControl w:val="0"/>
        <w:jc w:val="both"/>
      </w:pPr>
      <w:proofErr w:type="gramStart"/>
      <w:r w:rsidRPr="009647D1">
        <w:t>Il  benchmark</w:t>
      </w:r>
      <w:proofErr w:type="gramEnd"/>
      <w:r w:rsidRPr="009647D1">
        <w:t xml:space="preserve"> strategico  indicato ai gestori risulta:</w:t>
      </w:r>
    </w:p>
    <w:tbl>
      <w:tblPr>
        <w:tblW w:w="7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97"/>
        <w:gridCol w:w="1855"/>
        <w:gridCol w:w="1133"/>
      </w:tblGrid>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
                <w:bCs/>
                <w:sz w:val="20"/>
              </w:rPr>
            </w:pPr>
            <w:r w:rsidRPr="009647D1">
              <w:rPr>
                <w:rFonts w:ascii="Times New Roman" w:hAnsi="Times New Roman"/>
                <w:b/>
                <w:bCs/>
                <w:sz w:val="20"/>
              </w:rPr>
              <w:t>Asset class</w:t>
            </w:r>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
                <w:bCs/>
                <w:sz w:val="20"/>
              </w:rPr>
            </w:pPr>
            <w:r w:rsidRPr="009647D1">
              <w:rPr>
                <w:rFonts w:ascii="Times New Roman" w:hAnsi="Times New Roman"/>
                <w:b/>
                <w:bCs/>
                <w:sz w:val="20"/>
              </w:rPr>
              <w:t>Indici</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
                <w:bCs/>
                <w:sz w:val="20"/>
              </w:rPr>
            </w:pPr>
            <w:proofErr w:type="spellStart"/>
            <w:r w:rsidRPr="009647D1">
              <w:rPr>
                <w:rFonts w:ascii="Times New Roman" w:hAnsi="Times New Roman"/>
                <w:b/>
                <w:bCs/>
                <w:sz w:val="20"/>
              </w:rPr>
              <w:t>Ticker</w:t>
            </w:r>
            <w:proofErr w:type="spellEnd"/>
            <w:r w:rsidRPr="009647D1">
              <w:rPr>
                <w:rFonts w:ascii="Times New Roman" w:hAnsi="Times New Roman"/>
                <w:b/>
                <w:bCs/>
                <w:sz w:val="20"/>
              </w:rPr>
              <w:t xml:space="preserve"> BB</w:t>
            </w: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
                <w:bCs/>
                <w:sz w:val="20"/>
              </w:rPr>
            </w:pPr>
            <w:r w:rsidRPr="009647D1">
              <w:rPr>
                <w:rFonts w:ascii="Times New Roman" w:hAnsi="Times New Roman"/>
                <w:b/>
                <w:bCs/>
                <w:sz w:val="20"/>
              </w:rPr>
              <w:t xml:space="preserve">peso </w:t>
            </w:r>
          </w:p>
        </w:tc>
      </w:tr>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Azioni</w:t>
            </w:r>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lang w:val="en-US"/>
              </w:rPr>
            </w:pPr>
            <w:r w:rsidRPr="009647D1">
              <w:rPr>
                <w:rFonts w:ascii="Times New Roman" w:hAnsi="Times New Roman"/>
                <w:bCs/>
                <w:sz w:val="20"/>
                <w:lang w:val="en-US"/>
              </w:rPr>
              <w:t>MSCI ACWI Net Total Return EUR</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lang w:val="en-US"/>
              </w:rPr>
            </w:pPr>
            <w:r w:rsidRPr="009647D1">
              <w:rPr>
                <w:rFonts w:ascii="Times New Roman" w:hAnsi="Times New Roman"/>
                <w:bCs/>
                <w:sz w:val="20"/>
                <w:lang w:val="en-US"/>
              </w:rPr>
              <w:t xml:space="preserve">NDEEWNR </w:t>
            </w:r>
            <w:proofErr w:type="spellStart"/>
            <w:r w:rsidRPr="009647D1">
              <w:rPr>
                <w:rFonts w:ascii="Times New Roman" w:hAnsi="Times New Roman"/>
                <w:bCs/>
                <w:sz w:val="20"/>
                <w:lang w:val="en-US"/>
              </w:rPr>
              <w:t>Inbdex</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Cs/>
                <w:sz w:val="20"/>
                <w:lang w:val="en-US"/>
              </w:rPr>
            </w:pPr>
            <w:r w:rsidRPr="009647D1">
              <w:rPr>
                <w:rFonts w:ascii="Times New Roman" w:hAnsi="Times New Roman"/>
                <w:bCs/>
                <w:sz w:val="20"/>
                <w:lang w:val="en-US"/>
              </w:rPr>
              <w:t>10,00%</w:t>
            </w:r>
          </w:p>
        </w:tc>
      </w:tr>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Obbligazioni</w:t>
            </w:r>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proofErr w:type="spellStart"/>
            <w:r w:rsidRPr="009647D1">
              <w:rPr>
                <w:rFonts w:ascii="Times New Roman" w:hAnsi="Times New Roman"/>
                <w:bCs/>
                <w:sz w:val="20"/>
              </w:rPr>
              <w:t>BarCap</w:t>
            </w:r>
            <w:proofErr w:type="spellEnd"/>
            <w:r w:rsidRPr="009647D1">
              <w:rPr>
                <w:rFonts w:ascii="Times New Roman" w:hAnsi="Times New Roman"/>
                <w:bCs/>
                <w:sz w:val="20"/>
              </w:rPr>
              <w:t xml:space="preserve"> Euro </w:t>
            </w:r>
            <w:proofErr w:type="spellStart"/>
            <w:r w:rsidRPr="009647D1">
              <w:rPr>
                <w:rFonts w:ascii="Times New Roman" w:hAnsi="Times New Roman"/>
                <w:bCs/>
                <w:sz w:val="20"/>
              </w:rPr>
              <w:t>Agg</w:t>
            </w:r>
            <w:proofErr w:type="spellEnd"/>
            <w:r w:rsidRPr="009647D1">
              <w:rPr>
                <w:rFonts w:ascii="Times New Roman" w:hAnsi="Times New Roman"/>
                <w:bCs/>
                <w:sz w:val="20"/>
              </w:rPr>
              <w:t>. 1-10</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LEU1TREU Index</w:t>
            </w: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Cs/>
                <w:sz w:val="20"/>
              </w:rPr>
            </w:pPr>
            <w:r w:rsidRPr="009647D1">
              <w:rPr>
                <w:rFonts w:ascii="Times New Roman" w:hAnsi="Times New Roman"/>
                <w:bCs/>
                <w:sz w:val="20"/>
              </w:rPr>
              <w:t>60,00%</w:t>
            </w:r>
          </w:p>
        </w:tc>
      </w:tr>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Monetario</w:t>
            </w:r>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 xml:space="preserve">EONIA </w:t>
            </w:r>
            <w:proofErr w:type="spellStart"/>
            <w:r w:rsidRPr="009647D1">
              <w:rPr>
                <w:rFonts w:ascii="Times New Roman" w:hAnsi="Times New Roman"/>
                <w:bCs/>
                <w:sz w:val="20"/>
              </w:rPr>
              <w:t>Capitalization</w:t>
            </w:r>
            <w:proofErr w:type="spellEnd"/>
            <w:r w:rsidRPr="009647D1">
              <w:rPr>
                <w:rFonts w:ascii="Times New Roman" w:hAnsi="Times New Roman"/>
                <w:bCs/>
                <w:sz w:val="20"/>
              </w:rPr>
              <w:t xml:space="preserve"> 7d</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EONCAPL7 Index</w:t>
            </w: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Cs/>
                <w:sz w:val="20"/>
              </w:rPr>
            </w:pPr>
            <w:r w:rsidRPr="009647D1">
              <w:rPr>
                <w:rFonts w:ascii="Times New Roman" w:hAnsi="Times New Roman"/>
                <w:bCs/>
                <w:sz w:val="20"/>
              </w:rPr>
              <w:t>28,00%</w:t>
            </w:r>
          </w:p>
        </w:tc>
      </w:tr>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Immobiliare</w:t>
            </w:r>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FTSE EPRA/NAREIT US</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TRNUSU Index</w:t>
            </w: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Cs/>
                <w:sz w:val="20"/>
              </w:rPr>
            </w:pPr>
            <w:r w:rsidRPr="009647D1">
              <w:rPr>
                <w:rFonts w:ascii="Times New Roman" w:hAnsi="Times New Roman"/>
                <w:bCs/>
                <w:sz w:val="20"/>
              </w:rPr>
              <w:t>1,00%</w:t>
            </w:r>
          </w:p>
        </w:tc>
      </w:tr>
      <w:tr w:rsidR="009647D1" w:rsidRPr="009647D1" w:rsidTr="001B1C75">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proofErr w:type="spellStart"/>
            <w:r w:rsidRPr="009647D1">
              <w:rPr>
                <w:rFonts w:ascii="Times New Roman" w:hAnsi="Times New Roman"/>
                <w:bCs/>
                <w:sz w:val="20"/>
              </w:rPr>
              <w:t>Commodities</w:t>
            </w:r>
            <w:proofErr w:type="spellEnd"/>
          </w:p>
        </w:tc>
        <w:tc>
          <w:tcPr>
            <w:tcW w:w="3297"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S&amp;P GSCI</w:t>
            </w:r>
          </w:p>
        </w:tc>
        <w:tc>
          <w:tcPr>
            <w:tcW w:w="1855"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Cs/>
                <w:sz w:val="20"/>
              </w:rPr>
            </w:pPr>
            <w:r w:rsidRPr="009647D1">
              <w:rPr>
                <w:rFonts w:ascii="Times New Roman" w:hAnsi="Times New Roman"/>
                <w:bCs/>
                <w:sz w:val="20"/>
              </w:rPr>
              <w:t>SPGCCITR Index</w:t>
            </w: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Cs/>
                <w:sz w:val="20"/>
              </w:rPr>
            </w:pPr>
            <w:r w:rsidRPr="009647D1">
              <w:rPr>
                <w:rFonts w:ascii="Times New Roman" w:hAnsi="Times New Roman"/>
                <w:bCs/>
                <w:sz w:val="20"/>
              </w:rPr>
              <w:t>1,00%</w:t>
            </w:r>
          </w:p>
        </w:tc>
      </w:tr>
      <w:tr w:rsidR="009647D1" w:rsidRPr="009647D1" w:rsidTr="001B1C75">
        <w:trPr>
          <w:trHeight w:val="197"/>
        </w:trPr>
        <w:tc>
          <w:tcPr>
            <w:tcW w:w="1410"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rPr>
                <w:rFonts w:ascii="Times New Roman" w:hAnsi="Times New Roman"/>
                <w:b/>
                <w:bCs/>
                <w:sz w:val="20"/>
              </w:rPr>
            </w:pPr>
            <w:r w:rsidRPr="009647D1">
              <w:rPr>
                <w:rFonts w:ascii="Times New Roman" w:hAnsi="Times New Roman"/>
                <w:b/>
                <w:bCs/>
                <w:sz w:val="20"/>
              </w:rPr>
              <w:t>TOTALE</w:t>
            </w:r>
          </w:p>
        </w:tc>
        <w:tc>
          <w:tcPr>
            <w:tcW w:w="3297" w:type="dxa"/>
            <w:tcBorders>
              <w:top w:val="single" w:sz="4" w:space="0" w:color="auto"/>
              <w:left w:val="single" w:sz="4" w:space="0" w:color="auto"/>
              <w:bottom w:val="single" w:sz="4" w:space="0" w:color="auto"/>
              <w:right w:val="single" w:sz="4" w:space="0" w:color="auto"/>
            </w:tcBorders>
          </w:tcPr>
          <w:p w:rsidR="009647D1" w:rsidRPr="009647D1" w:rsidRDefault="009647D1" w:rsidP="001B1C75">
            <w:pPr>
              <w:widowControl w:val="0"/>
              <w:rPr>
                <w:rFonts w:ascii="Times New Roman" w:hAnsi="Times New Roman"/>
                <w:b/>
                <w:bCs/>
                <w:sz w:val="20"/>
              </w:rPr>
            </w:pPr>
          </w:p>
        </w:tc>
        <w:tc>
          <w:tcPr>
            <w:tcW w:w="1855" w:type="dxa"/>
            <w:tcBorders>
              <w:top w:val="single" w:sz="4" w:space="0" w:color="auto"/>
              <w:left w:val="single" w:sz="4" w:space="0" w:color="auto"/>
              <w:bottom w:val="single" w:sz="4" w:space="0" w:color="auto"/>
              <w:right w:val="single" w:sz="4" w:space="0" w:color="auto"/>
            </w:tcBorders>
          </w:tcPr>
          <w:p w:rsidR="009647D1" w:rsidRPr="009647D1" w:rsidRDefault="009647D1" w:rsidP="001B1C75">
            <w:pPr>
              <w:widowControl w:val="0"/>
              <w:rPr>
                <w:rFonts w:ascii="Times New Roman" w:hAnsi="Times New Roman"/>
                <w:b/>
                <w:bCs/>
                <w:sz w:val="20"/>
              </w:rPr>
            </w:pPr>
          </w:p>
        </w:tc>
        <w:tc>
          <w:tcPr>
            <w:tcW w:w="1133" w:type="dxa"/>
            <w:tcBorders>
              <w:top w:val="single" w:sz="4" w:space="0" w:color="auto"/>
              <w:left w:val="single" w:sz="4" w:space="0" w:color="auto"/>
              <w:bottom w:val="single" w:sz="4" w:space="0" w:color="auto"/>
              <w:right w:val="single" w:sz="4" w:space="0" w:color="auto"/>
            </w:tcBorders>
            <w:hideMark/>
          </w:tcPr>
          <w:p w:rsidR="009647D1" w:rsidRPr="009647D1" w:rsidRDefault="009647D1" w:rsidP="001B1C75">
            <w:pPr>
              <w:widowControl w:val="0"/>
              <w:jc w:val="center"/>
              <w:rPr>
                <w:rFonts w:ascii="Times New Roman" w:hAnsi="Times New Roman"/>
                <w:b/>
                <w:bCs/>
                <w:sz w:val="20"/>
              </w:rPr>
            </w:pPr>
            <w:r w:rsidRPr="009647D1">
              <w:rPr>
                <w:rFonts w:ascii="Times New Roman" w:hAnsi="Times New Roman"/>
                <w:b/>
                <w:bCs/>
                <w:sz w:val="20"/>
              </w:rPr>
              <w:t>100,00%</w:t>
            </w:r>
          </w:p>
        </w:tc>
      </w:tr>
    </w:tbl>
    <w:p w:rsidR="009647D1" w:rsidRPr="009647D1" w:rsidRDefault="009647D1" w:rsidP="009647D1">
      <w:pPr>
        <w:pStyle w:val="Delibera"/>
        <w:tabs>
          <w:tab w:val="clear" w:pos="567"/>
        </w:tabs>
        <w:spacing w:line="240" w:lineRule="auto"/>
        <w:rPr>
          <w:szCs w:val="24"/>
        </w:rPr>
      </w:pPr>
    </w:p>
    <w:p w:rsidR="009647D1" w:rsidRPr="009647D1" w:rsidRDefault="009647D1" w:rsidP="009647D1">
      <w:pPr>
        <w:pStyle w:val="Style3"/>
        <w:kinsoku w:val="0"/>
        <w:autoSpaceDE/>
        <w:autoSpaceDN/>
        <w:ind w:right="74"/>
        <w:rPr>
          <w:rStyle w:val="CharacterStyle1"/>
          <w:i w:val="0"/>
        </w:rPr>
      </w:pPr>
      <w:r w:rsidRPr="009647D1">
        <w:rPr>
          <w:rStyle w:val="CharacterStyle1"/>
          <w:i w:val="0"/>
        </w:rPr>
        <w:t xml:space="preserve">Per l’esercizio 2021 si prevede di mantenere l’attuale impostazione strategica, salvo </w:t>
      </w:r>
      <w:proofErr w:type="gramStart"/>
      <w:r w:rsidRPr="009647D1">
        <w:rPr>
          <w:rStyle w:val="CharacterStyle1"/>
          <w:i w:val="0"/>
        </w:rPr>
        <w:t>eventuali  interventi</w:t>
      </w:r>
      <w:proofErr w:type="gramEnd"/>
      <w:r w:rsidRPr="009647D1">
        <w:rPr>
          <w:rStyle w:val="CharacterStyle1"/>
          <w:i w:val="0"/>
        </w:rPr>
        <w:t xml:space="preserve"> per opportunità di natura  tattica.</w:t>
      </w:r>
    </w:p>
    <w:p w:rsidR="009647D1" w:rsidRPr="009647D1" w:rsidRDefault="009647D1" w:rsidP="009647D1">
      <w:pPr>
        <w:pStyle w:val="Style3"/>
        <w:kinsoku w:val="0"/>
        <w:autoSpaceDE/>
        <w:autoSpaceDN/>
        <w:ind w:right="74"/>
        <w:rPr>
          <w:i w:val="0"/>
        </w:rPr>
      </w:pPr>
    </w:p>
    <w:p w:rsidR="009647D1" w:rsidRPr="00B27766" w:rsidRDefault="009647D1" w:rsidP="009C44E2">
      <w:pPr>
        <w:pStyle w:val="Pidipagina"/>
        <w:tabs>
          <w:tab w:val="left" w:pos="708"/>
        </w:tabs>
        <w:jc w:val="both"/>
        <w:rPr>
          <w:sz w:val="24"/>
          <w:szCs w:val="24"/>
        </w:rPr>
      </w:pPr>
    </w:p>
    <w:p w:rsidR="001532BF" w:rsidRPr="00B27766" w:rsidRDefault="001532BF" w:rsidP="001532BF">
      <w:pPr>
        <w:rPr>
          <w:rFonts w:ascii="Times New Roman" w:hAnsi="Times New Roman"/>
          <w:b/>
          <w:bCs/>
          <w:iCs/>
          <w:szCs w:val="24"/>
        </w:rPr>
      </w:pPr>
    </w:p>
    <w:p w:rsidR="00EF3B83" w:rsidRPr="00453392" w:rsidRDefault="00675AD0" w:rsidP="00735CEB">
      <w:pPr>
        <w:pStyle w:val="Titolo2"/>
        <w:spacing w:line="240" w:lineRule="auto"/>
        <w:jc w:val="left"/>
        <w:rPr>
          <w:rFonts w:ascii="Times New Roman" w:hAnsi="Times New Roman" w:cs="Times New Roman"/>
          <w:i w:val="0"/>
          <w:iCs/>
          <w:sz w:val="24"/>
          <w:szCs w:val="24"/>
          <w:u w:val="single"/>
        </w:rPr>
      </w:pPr>
      <w:r w:rsidRPr="00453392">
        <w:rPr>
          <w:rFonts w:ascii="Times New Roman" w:hAnsi="Times New Roman" w:cs="Times New Roman"/>
          <w:i w:val="0"/>
          <w:iCs/>
          <w:sz w:val="24"/>
          <w:szCs w:val="24"/>
          <w:u w:val="single"/>
        </w:rPr>
        <w:t>Principi generali dell’attività erogativa</w:t>
      </w:r>
    </w:p>
    <w:p w:rsidR="00070975" w:rsidRPr="00453392" w:rsidRDefault="00070975" w:rsidP="00070975">
      <w:pPr>
        <w:rPr>
          <w:rFonts w:ascii="Times New Roman" w:hAnsi="Times New Roman"/>
        </w:rPr>
      </w:pPr>
      <w:r w:rsidRPr="00453392">
        <w:rPr>
          <w:rFonts w:ascii="Times New Roman" w:hAnsi="Times New Roman"/>
        </w:rPr>
        <w:t xml:space="preserve">La </w:t>
      </w:r>
      <w:proofErr w:type="gramStart"/>
      <w:r w:rsidRPr="00453392">
        <w:rPr>
          <w:rFonts w:ascii="Times New Roman" w:hAnsi="Times New Roman"/>
        </w:rPr>
        <w:t>Fondazione  agisce</w:t>
      </w:r>
      <w:proofErr w:type="gramEnd"/>
      <w:r w:rsidRPr="00453392">
        <w:rPr>
          <w:rFonts w:ascii="Times New Roman" w:hAnsi="Times New Roman"/>
        </w:rPr>
        <w:t xml:space="preserve"> a favore della comunità locale e collabora con le istituzioni sia pubbliche che private prospettandosi come una risorsa a disposizione del </w:t>
      </w:r>
      <w:r w:rsidR="003F325B">
        <w:rPr>
          <w:rFonts w:ascii="Times New Roman" w:hAnsi="Times New Roman"/>
        </w:rPr>
        <w:t>T</w:t>
      </w:r>
      <w:r w:rsidRPr="00453392">
        <w:rPr>
          <w:rFonts w:ascii="Times New Roman" w:hAnsi="Times New Roman"/>
        </w:rPr>
        <w:t xml:space="preserve">erritorio. </w:t>
      </w:r>
    </w:p>
    <w:p w:rsidR="00070975" w:rsidRPr="00453392" w:rsidRDefault="00070975" w:rsidP="00070975">
      <w:pPr>
        <w:rPr>
          <w:rFonts w:ascii="Times New Roman" w:hAnsi="Times New Roman"/>
        </w:rPr>
      </w:pPr>
    </w:p>
    <w:p w:rsidR="00070975" w:rsidRPr="00B27766" w:rsidRDefault="00070975" w:rsidP="00070975">
      <w:pPr>
        <w:rPr>
          <w:rFonts w:ascii="Times New Roman" w:hAnsi="Times New Roman"/>
          <w:szCs w:val="24"/>
        </w:rPr>
      </w:pPr>
      <w:r w:rsidRPr="00453392">
        <w:rPr>
          <w:rFonts w:ascii="Times New Roman" w:hAnsi="Times New Roman"/>
          <w:szCs w:val="24"/>
        </w:rPr>
        <w:t>Interpreta la propria mission coerentemente con le proprie possibilità e la propria natura di soggetto della società civile dotato di piena au</w:t>
      </w:r>
      <w:r w:rsidR="00396654" w:rsidRPr="00453392">
        <w:rPr>
          <w:rFonts w:ascii="Times New Roman" w:hAnsi="Times New Roman"/>
          <w:szCs w:val="24"/>
        </w:rPr>
        <w:t xml:space="preserve">tonomia giuridica e funzionale; </w:t>
      </w:r>
      <w:r w:rsidRPr="00453392">
        <w:rPr>
          <w:rFonts w:ascii="Times New Roman" w:hAnsi="Times New Roman"/>
          <w:szCs w:val="24"/>
        </w:rPr>
        <w:t xml:space="preserve">in un’ottica di </w:t>
      </w:r>
      <w:proofErr w:type="gramStart"/>
      <w:r w:rsidRPr="00453392">
        <w:rPr>
          <w:rFonts w:ascii="Times New Roman" w:hAnsi="Times New Roman"/>
          <w:szCs w:val="24"/>
        </w:rPr>
        <w:t>sussidiarietà,  intende</w:t>
      </w:r>
      <w:proofErr w:type="gramEnd"/>
      <w:r w:rsidRPr="00453392">
        <w:rPr>
          <w:rFonts w:ascii="Times New Roman" w:hAnsi="Times New Roman"/>
          <w:szCs w:val="24"/>
        </w:rPr>
        <w:t xml:space="preserve"> favorire  e partecipare dei progetti e delle iniziative che finanzia secondo una logica  di partnership non escludendo anche l’adozione  di appropriate attività promozionali</w:t>
      </w:r>
      <w:r w:rsidRPr="00B27766">
        <w:rPr>
          <w:rFonts w:ascii="Times New Roman" w:hAnsi="Times New Roman"/>
          <w:szCs w:val="24"/>
        </w:rPr>
        <w:t xml:space="preserve"> nonché l’assunzione di responsabilità dirette in ordine alla loro attuazione.</w:t>
      </w:r>
    </w:p>
    <w:p w:rsidR="00070975" w:rsidRPr="00B27766" w:rsidRDefault="00070975" w:rsidP="00070975">
      <w:pPr>
        <w:rPr>
          <w:rFonts w:ascii="Times New Roman" w:hAnsi="Times New Roman"/>
          <w:szCs w:val="24"/>
        </w:rPr>
      </w:pPr>
    </w:p>
    <w:p w:rsidR="00706AE0" w:rsidRPr="00B27766" w:rsidRDefault="00706AE0" w:rsidP="00706AE0">
      <w:pPr>
        <w:rPr>
          <w:rFonts w:ascii="Times New Roman" w:hAnsi="Times New Roman"/>
          <w:b/>
        </w:rPr>
      </w:pPr>
      <w:r w:rsidRPr="00B27766">
        <w:rPr>
          <w:rFonts w:ascii="Times New Roman" w:hAnsi="Times New Roman"/>
        </w:rPr>
        <w:t>La</w:t>
      </w:r>
      <w:r w:rsidRPr="00B27766">
        <w:rPr>
          <w:rFonts w:ascii="Times New Roman" w:hAnsi="Times New Roman"/>
          <w:b/>
        </w:rPr>
        <w:t xml:space="preserve"> </w:t>
      </w:r>
      <w:r w:rsidRPr="00B27766">
        <w:rPr>
          <w:rStyle w:val="Enfasigrassetto"/>
          <w:rFonts w:ascii="Times New Roman" w:hAnsi="Times New Roman"/>
          <w:b w:val="0"/>
        </w:rPr>
        <w:t>Fondazione</w:t>
      </w:r>
      <w:r w:rsidRPr="00B27766">
        <w:rPr>
          <w:rFonts w:ascii="Times New Roman" w:hAnsi="Times New Roman"/>
          <w:b/>
        </w:rPr>
        <w:t xml:space="preserve"> </w:t>
      </w:r>
      <w:r w:rsidRPr="00B27766">
        <w:rPr>
          <w:rFonts w:ascii="Times New Roman" w:hAnsi="Times New Roman"/>
        </w:rPr>
        <w:t xml:space="preserve">per meglio espletare la propria funzione, pone particolare </w:t>
      </w:r>
      <w:proofErr w:type="gramStart"/>
      <w:r w:rsidRPr="00B27766">
        <w:rPr>
          <w:rFonts w:ascii="Times New Roman" w:hAnsi="Times New Roman"/>
        </w:rPr>
        <w:t xml:space="preserve">attenzione </w:t>
      </w:r>
      <w:r w:rsidRPr="00B27766">
        <w:rPr>
          <w:rStyle w:val="Enfasigrassetto"/>
          <w:rFonts w:ascii="Times New Roman" w:hAnsi="Times New Roman"/>
          <w:b w:val="0"/>
        </w:rPr>
        <w:t xml:space="preserve"> </w:t>
      </w:r>
      <w:r w:rsidRPr="00B27766">
        <w:rPr>
          <w:rFonts w:ascii="Times New Roman" w:hAnsi="Times New Roman"/>
        </w:rPr>
        <w:t>al</w:t>
      </w:r>
      <w:proofErr w:type="gramEnd"/>
      <w:r w:rsidRPr="00B27766">
        <w:rPr>
          <w:rFonts w:ascii="Times New Roman" w:hAnsi="Times New Roman"/>
        </w:rPr>
        <w:t xml:space="preserve"> mutamento dei bisogni della propria comunità di riferimento adeguando</w:t>
      </w:r>
      <w:r w:rsidRPr="00B27766">
        <w:rPr>
          <w:rStyle w:val="Enfasigrassetto"/>
          <w:rFonts w:ascii="Times New Roman" w:hAnsi="Times New Roman"/>
          <w:b w:val="0"/>
        </w:rPr>
        <w:t xml:space="preserve"> le proprie modalità di intervento e di declinazione della propria  missione</w:t>
      </w:r>
      <w:r w:rsidRPr="00B27766">
        <w:rPr>
          <w:rFonts w:ascii="Times New Roman" w:hAnsi="Times New Roman"/>
          <w:b/>
        </w:rPr>
        <w:t>.</w:t>
      </w:r>
    </w:p>
    <w:p w:rsidR="00C153E8" w:rsidRDefault="00C153E8" w:rsidP="00070975">
      <w:pPr>
        <w:rPr>
          <w:rFonts w:ascii="Times New Roman" w:hAnsi="Times New Roman"/>
          <w:b/>
          <w:szCs w:val="24"/>
        </w:rPr>
      </w:pPr>
    </w:p>
    <w:p w:rsidR="001978E4" w:rsidRPr="00B27766" w:rsidRDefault="001978E4" w:rsidP="00070975">
      <w:pPr>
        <w:rPr>
          <w:rFonts w:ascii="Times New Roman" w:hAnsi="Times New Roman"/>
          <w:b/>
          <w:szCs w:val="24"/>
        </w:rPr>
      </w:pPr>
    </w:p>
    <w:p w:rsidR="000B39E4" w:rsidRPr="00B27766" w:rsidRDefault="00C153E8" w:rsidP="000B39E4">
      <w:pPr>
        <w:pStyle w:val="Default"/>
        <w:rPr>
          <w:rFonts w:ascii="Times New Roman" w:hAnsi="Times New Roman" w:cs="Times New Roman"/>
          <w:b/>
        </w:rPr>
      </w:pPr>
      <w:r w:rsidRPr="00B27766">
        <w:rPr>
          <w:rFonts w:ascii="Times New Roman" w:hAnsi="Times New Roman" w:cs="Times New Roman"/>
          <w:b/>
        </w:rPr>
        <w:t xml:space="preserve">Settori di intervento </w:t>
      </w:r>
    </w:p>
    <w:p w:rsidR="000B39E4" w:rsidRPr="00B67B81" w:rsidRDefault="000B39E4" w:rsidP="000B39E4">
      <w:pPr>
        <w:rPr>
          <w:rFonts w:ascii="Times New Roman" w:hAnsi="Times New Roman"/>
          <w:szCs w:val="24"/>
        </w:rPr>
      </w:pPr>
      <w:r w:rsidRPr="00B27766">
        <w:rPr>
          <w:rFonts w:ascii="Times New Roman" w:hAnsi="Times New Roman"/>
          <w:szCs w:val="24"/>
        </w:rPr>
        <w:t xml:space="preserve">La Fondazione interviene </w:t>
      </w:r>
      <w:proofErr w:type="gramStart"/>
      <w:r w:rsidRPr="00B27766">
        <w:rPr>
          <w:rStyle w:val="CharacterStyle1"/>
          <w:rFonts w:ascii="Times New Roman" w:hAnsi="Times New Roman"/>
        </w:rPr>
        <w:t>nei</w:t>
      </w:r>
      <w:r w:rsidRPr="00B27766">
        <w:rPr>
          <w:rStyle w:val="CharacterStyle1"/>
          <w:rFonts w:ascii="Times New Roman" w:hAnsi="Times New Roman"/>
          <w:i/>
        </w:rPr>
        <w:t xml:space="preserve"> </w:t>
      </w:r>
      <w:r w:rsidRPr="00B27766">
        <w:rPr>
          <w:rStyle w:val="CharacterStyle2"/>
          <w:rFonts w:ascii="Times New Roman" w:hAnsi="Times New Roman"/>
          <w:i w:val="0"/>
          <w:sz w:val="24"/>
          <w:szCs w:val="24"/>
        </w:rPr>
        <w:t xml:space="preserve"> settori</w:t>
      </w:r>
      <w:proofErr w:type="gramEnd"/>
      <w:r w:rsidRPr="00B27766">
        <w:rPr>
          <w:rStyle w:val="CharacterStyle2"/>
          <w:rFonts w:ascii="Times New Roman" w:hAnsi="Times New Roman"/>
          <w:i w:val="0"/>
          <w:sz w:val="24"/>
          <w:szCs w:val="24"/>
        </w:rPr>
        <w:t xml:space="preserve"> rilevanti scelti </w:t>
      </w:r>
      <w:r w:rsidRPr="00B27766">
        <w:rPr>
          <w:rStyle w:val="CharacterStyle1"/>
          <w:rFonts w:ascii="Times New Roman" w:hAnsi="Times New Roman"/>
        </w:rPr>
        <w:t xml:space="preserve">ogni  </w:t>
      </w:r>
      <w:r w:rsidRPr="00B27766">
        <w:rPr>
          <w:rFonts w:ascii="Times New Roman" w:hAnsi="Times New Roman"/>
          <w:szCs w:val="24"/>
        </w:rPr>
        <w:t xml:space="preserve">tre anni   </w:t>
      </w:r>
      <w:r w:rsidRPr="00B27766">
        <w:rPr>
          <w:rStyle w:val="CharacterStyle2"/>
          <w:rFonts w:ascii="Times New Roman" w:hAnsi="Times New Roman"/>
          <w:i w:val="0"/>
          <w:sz w:val="24"/>
          <w:szCs w:val="24"/>
        </w:rPr>
        <w:t xml:space="preserve">dal  </w:t>
      </w:r>
      <w:r w:rsidRPr="00B27766">
        <w:rPr>
          <w:rStyle w:val="CharacterStyle1"/>
          <w:rFonts w:ascii="Times New Roman" w:hAnsi="Times New Roman"/>
        </w:rPr>
        <w:t xml:space="preserve">Consiglio di Indirizzo </w:t>
      </w:r>
      <w:r w:rsidRPr="00B67B81">
        <w:rPr>
          <w:rStyle w:val="CharacterStyle1"/>
          <w:rFonts w:ascii="Times New Roman" w:hAnsi="Times New Roman"/>
        </w:rPr>
        <w:t>nell’ambito dei settori ammessi</w:t>
      </w:r>
      <w:r w:rsidRPr="00B67B81">
        <w:rPr>
          <w:rFonts w:ascii="Times New Roman" w:hAnsi="Times New Roman"/>
          <w:szCs w:val="24"/>
        </w:rPr>
        <w:t xml:space="preserve"> di cui al D.Lgs. n.153/99, dando rilievo alla valenza sociale, culturale ed economica delle iniziative,</w:t>
      </w:r>
      <w:r w:rsidRPr="00B67B81">
        <w:rPr>
          <w:rFonts w:ascii="Times New Roman" w:hAnsi="Times New Roman"/>
          <w:w w:val="105"/>
          <w:szCs w:val="24"/>
        </w:rPr>
        <w:t xml:space="preserve"> nell' interesse esclusivo delle comunità</w:t>
      </w:r>
      <w:r w:rsidRPr="00B67B81">
        <w:rPr>
          <w:rFonts w:ascii="Times New Roman" w:hAnsi="Times New Roman"/>
          <w:iCs/>
          <w:szCs w:val="24"/>
        </w:rPr>
        <w:t xml:space="preserve"> </w:t>
      </w:r>
      <w:r w:rsidRPr="00B67B81">
        <w:rPr>
          <w:rFonts w:ascii="Times New Roman" w:hAnsi="Times New Roman"/>
          <w:w w:val="105"/>
          <w:szCs w:val="24"/>
        </w:rPr>
        <w:t>viterbesi</w:t>
      </w:r>
      <w:r w:rsidRPr="00B67B81">
        <w:rPr>
          <w:rFonts w:ascii="Times New Roman" w:hAnsi="Times New Roman"/>
          <w:szCs w:val="24"/>
        </w:rPr>
        <w:t xml:space="preserve">. </w:t>
      </w:r>
    </w:p>
    <w:p w:rsidR="000B39E4" w:rsidRPr="00B67B81" w:rsidRDefault="000B39E4" w:rsidP="000B39E4">
      <w:pPr>
        <w:pStyle w:val="Default"/>
        <w:rPr>
          <w:rFonts w:ascii="Times New Roman" w:hAnsi="Times New Roman" w:cs="Times New Roman"/>
        </w:rPr>
      </w:pPr>
    </w:p>
    <w:p w:rsidR="000B39E4" w:rsidRPr="00B67B81" w:rsidRDefault="000B39E4" w:rsidP="00177FA0">
      <w:pPr>
        <w:pStyle w:val="Titolo3"/>
        <w:rPr>
          <w:rFonts w:eastAsiaTheme="minorHAnsi"/>
          <w:b w:val="0"/>
          <w:color w:val="000000"/>
          <w:szCs w:val="24"/>
          <w:lang w:eastAsia="en-US"/>
        </w:rPr>
      </w:pPr>
      <w:r w:rsidRPr="00B67B81">
        <w:rPr>
          <w:b w:val="0"/>
          <w:szCs w:val="24"/>
        </w:rPr>
        <w:t>Nell’ambito dei settor</w:t>
      </w:r>
      <w:r w:rsidR="00E16EC1" w:rsidRPr="00B67B81">
        <w:rPr>
          <w:b w:val="0"/>
          <w:szCs w:val="24"/>
        </w:rPr>
        <w:t xml:space="preserve">i ammessi, il Consiglio di </w:t>
      </w:r>
      <w:proofErr w:type="gramStart"/>
      <w:r w:rsidR="00E16EC1" w:rsidRPr="00B67B81">
        <w:rPr>
          <w:b w:val="0"/>
          <w:szCs w:val="24"/>
        </w:rPr>
        <w:t xml:space="preserve">Indirizzo </w:t>
      </w:r>
      <w:r w:rsidRPr="00B67B81">
        <w:rPr>
          <w:b w:val="0"/>
          <w:szCs w:val="24"/>
        </w:rPr>
        <w:t xml:space="preserve"> ha</w:t>
      </w:r>
      <w:proofErr w:type="gramEnd"/>
      <w:r w:rsidRPr="00B67B81">
        <w:rPr>
          <w:b w:val="0"/>
          <w:szCs w:val="24"/>
        </w:rPr>
        <w:t xml:space="preserve"> stabilito per il triennio  2019</w:t>
      </w:r>
      <w:r w:rsidR="003F325B">
        <w:rPr>
          <w:b w:val="0"/>
          <w:szCs w:val="24"/>
        </w:rPr>
        <w:t>-</w:t>
      </w:r>
      <w:r w:rsidRPr="00B67B81">
        <w:rPr>
          <w:b w:val="0"/>
          <w:szCs w:val="24"/>
        </w:rPr>
        <w:t xml:space="preserve">2021 </w:t>
      </w:r>
      <w:r w:rsidR="0056484D" w:rsidRPr="00B67B81">
        <w:rPr>
          <w:b w:val="0"/>
          <w:szCs w:val="24"/>
        </w:rPr>
        <w:t xml:space="preserve">i </w:t>
      </w:r>
      <w:r w:rsidRPr="00B67B81">
        <w:rPr>
          <w:b w:val="0"/>
          <w:bCs/>
          <w:szCs w:val="24"/>
        </w:rPr>
        <w:t xml:space="preserve">settori rilevanti, </w:t>
      </w:r>
      <w:r w:rsidR="00E16EC1" w:rsidRPr="00B67B81">
        <w:rPr>
          <w:b w:val="0"/>
          <w:bCs/>
          <w:szCs w:val="24"/>
        </w:rPr>
        <w:t xml:space="preserve">a cui l’Ente </w:t>
      </w:r>
      <w:r w:rsidRPr="00B67B81">
        <w:rPr>
          <w:rFonts w:eastAsiaTheme="minorHAnsi"/>
          <w:b w:val="0"/>
          <w:color w:val="000000"/>
          <w:szCs w:val="24"/>
          <w:lang w:eastAsia="en-US"/>
        </w:rPr>
        <w:t xml:space="preserve">destinerà, ripartendo tra di essi in misura equilibrata e secondo un criterio di rilevanza sociale, almeno il 50% dell’avanzo di gestione al netto dell’accantonamento alla riserva obbligatoria, così come stabilito dall’art. 8 del citato D.Lgs. n. 153/1999. </w:t>
      </w:r>
    </w:p>
    <w:p w:rsidR="00E16EC1" w:rsidRPr="00B67B81" w:rsidRDefault="00E16EC1" w:rsidP="00177FA0">
      <w:pPr>
        <w:rPr>
          <w:rFonts w:ascii="Times New Roman" w:eastAsiaTheme="minorHAnsi" w:hAnsi="Times New Roman"/>
          <w:szCs w:val="24"/>
          <w:lang w:eastAsia="en-US"/>
        </w:rPr>
      </w:pPr>
    </w:p>
    <w:p w:rsidR="0056484D" w:rsidRPr="00B67B81" w:rsidRDefault="0056484D" w:rsidP="00177FA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color w:val="000000"/>
          <w:szCs w:val="24"/>
          <w:lang w:eastAsia="en-US"/>
        </w:rPr>
      </w:pPr>
      <w:r w:rsidRPr="00B67B81">
        <w:rPr>
          <w:rFonts w:ascii="Times New Roman" w:eastAsiaTheme="minorHAnsi" w:hAnsi="Times New Roman"/>
          <w:color w:val="000000"/>
          <w:szCs w:val="24"/>
          <w:lang w:eastAsia="en-US"/>
        </w:rPr>
        <w:t xml:space="preserve">In </w:t>
      </w:r>
      <w:r w:rsidR="00B27766" w:rsidRPr="00B67B81">
        <w:rPr>
          <w:rFonts w:ascii="Times New Roman" w:eastAsiaTheme="minorHAnsi" w:hAnsi="Times New Roman"/>
          <w:color w:val="000000"/>
          <w:szCs w:val="24"/>
          <w:lang w:eastAsia="en-US"/>
        </w:rPr>
        <w:t>particolare, nell’esercizio 202</w:t>
      </w:r>
      <w:r w:rsidR="00997BFA">
        <w:rPr>
          <w:rFonts w:ascii="Times New Roman" w:eastAsiaTheme="minorHAnsi" w:hAnsi="Times New Roman"/>
          <w:color w:val="000000"/>
          <w:szCs w:val="24"/>
          <w:lang w:eastAsia="en-US"/>
        </w:rPr>
        <w:t>1</w:t>
      </w:r>
      <w:r w:rsidR="00C834FD" w:rsidRPr="00B67B81">
        <w:rPr>
          <w:rFonts w:ascii="Times New Roman" w:eastAsiaTheme="minorHAnsi" w:hAnsi="Times New Roman"/>
          <w:color w:val="000000"/>
          <w:szCs w:val="24"/>
          <w:lang w:eastAsia="en-US"/>
        </w:rPr>
        <w:t xml:space="preserve">, la Fondazione </w:t>
      </w:r>
      <w:proofErr w:type="gramStart"/>
      <w:r w:rsidR="00C834FD" w:rsidRPr="00B67B81">
        <w:rPr>
          <w:rFonts w:ascii="Times New Roman" w:eastAsiaTheme="minorHAnsi" w:hAnsi="Times New Roman"/>
          <w:color w:val="000000"/>
          <w:szCs w:val="24"/>
          <w:lang w:eastAsia="en-US"/>
        </w:rPr>
        <w:t xml:space="preserve">destinerà </w:t>
      </w:r>
      <w:r w:rsidRPr="00B67B81">
        <w:rPr>
          <w:rFonts w:ascii="Times New Roman" w:eastAsiaTheme="minorHAnsi" w:hAnsi="Times New Roman"/>
          <w:color w:val="000000"/>
          <w:szCs w:val="24"/>
          <w:lang w:eastAsia="en-US"/>
        </w:rPr>
        <w:t xml:space="preserve"> il</w:t>
      </w:r>
      <w:proofErr w:type="gramEnd"/>
      <w:r w:rsidRPr="00B67B81">
        <w:rPr>
          <w:rFonts w:ascii="Times New Roman" w:eastAsiaTheme="minorHAnsi" w:hAnsi="Times New Roman"/>
          <w:color w:val="000000"/>
          <w:szCs w:val="24"/>
          <w:lang w:eastAsia="en-US"/>
        </w:rPr>
        <w:t xml:space="preserve"> 100% dei fondi dis</w:t>
      </w:r>
      <w:r w:rsidR="00C834FD" w:rsidRPr="00B67B81">
        <w:rPr>
          <w:rFonts w:ascii="Times New Roman" w:eastAsiaTheme="minorHAnsi" w:hAnsi="Times New Roman"/>
          <w:color w:val="000000"/>
          <w:szCs w:val="24"/>
          <w:lang w:eastAsia="en-US"/>
        </w:rPr>
        <w:t xml:space="preserve">ponibili  </w:t>
      </w:r>
      <w:r w:rsidRPr="00B67B81">
        <w:rPr>
          <w:rFonts w:ascii="Times New Roman" w:eastAsiaTheme="minorHAnsi" w:hAnsi="Times New Roman"/>
          <w:color w:val="000000"/>
          <w:szCs w:val="24"/>
          <w:lang w:eastAsia="en-US"/>
        </w:rPr>
        <w:t xml:space="preserve"> </w:t>
      </w:r>
      <w:r w:rsidR="00D17BE2" w:rsidRPr="00B67B81">
        <w:rPr>
          <w:rFonts w:ascii="Times New Roman" w:eastAsiaTheme="minorHAnsi" w:hAnsi="Times New Roman"/>
          <w:color w:val="000000"/>
          <w:szCs w:val="24"/>
          <w:lang w:eastAsia="en-US"/>
        </w:rPr>
        <w:t xml:space="preserve"> ai seguenti</w:t>
      </w:r>
      <w:r w:rsidR="001B1C75">
        <w:rPr>
          <w:rFonts w:ascii="Times New Roman" w:eastAsiaTheme="minorHAnsi" w:hAnsi="Times New Roman"/>
          <w:color w:val="000000"/>
          <w:szCs w:val="24"/>
          <w:lang w:eastAsia="en-US"/>
        </w:rPr>
        <w:t xml:space="preserve"> quattro </w:t>
      </w:r>
      <w:r w:rsidR="00D17BE2" w:rsidRPr="00B67B81">
        <w:rPr>
          <w:rFonts w:ascii="Times New Roman" w:eastAsiaTheme="minorHAnsi" w:hAnsi="Times New Roman"/>
          <w:color w:val="000000"/>
          <w:szCs w:val="24"/>
          <w:lang w:eastAsia="en-US"/>
        </w:rPr>
        <w:t xml:space="preserve"> settori rilevanti:</w:t>
      </w:r>
    </w:p>
    <w:p w:rsidR="0056484D" w:rsidRPr="00B67B81" w:rsidRDefault="0056484D" w:rsidP="00E16EC1">
      <w:pPr>
        <w:rPr>
          <w:rFonts w:ascii="Times New Roman" w:eastAsiaTheme="minorHAnsi" w:hAnsi="Times New Roman"/>
          <w:szCs w:val="24"/>
          <w:lang w:eastAsia="en-US"/>
        </w:rPr>
      </w:pPr>
    </w:p>
    <w:p w:rsidR="0056484D" w:rsidRPr="00B67B81" w:rsidRDefault="0056484D" w:rsidP="0056484D">
      <w:pPr>
        <w:numPr>
          <w:ilvl w:val="0"/>
          <w:numId w:val="1"/>
        </w:numPr>
        <w:tabs>
          <w:tab w:val="clear" w:pos="567"/>
        </w:tabs>
        <w:textAlignment w:val="auto"/>
        <w:rPr>
          <w:rFonts w:ascii="Times New Roman" w:hAnsi="Times New Roman"/>
          <w:szCs w:val="24"/>
        </w:rPr>
      </w:pPr>
      <w:r w:rsidRPr="00B67B81">
        <w:rPr>
          <w:rFonts w:ascii="Times New Roman" w:hAnsi="Times New Roman"/>
          <w:szCs w:val="24"/>
        </w:rPr>
        <w:t>Arte, attività e beni culturali;</w:t>
      </w:r>
    </w:p>
    <w:p w:rsidR="0056484D" w:rsidRPr="00B67B81" w:rsidRDefault="0056484D" w:rsidP="0056484D">
      <w:pPr>
        <w:numPr>
          <w:ilvl w:val="0"/>
          <w:numId w:val="1"/>
        </w:numPr>
        <w:tabs>
          <w:tab w:val="clear" w:pos="567"/>
        </w:tabs>
        <w:textAlignment w:val="auto"/>
        <w:rPr>
          <w:rFonts w:ascii="Times New Roman" w:hAnsi="Times New Roman"/>
          <w:szCs w:val="24"/>
        </w:rPr>
      </w:pPr>
      <w:r w:rsidRPr="00B67B81">
        <w:rPr>
          <w:rFonts w:ascii="Times New Roman" w:hAnsi="Times New Roman"/>
          <w:szCs w:val="24"/>
        </w:rPr>
        <w:t xml:space="preserve">Educazione, istruzione e formazione, incluso l’acquisto </w:t>
      </w:r>
      <w:proofErr w:type="gramStart"/>
      <w:r w:rsidRPr="00B67B81">
        <w:rPr>
          <w:rFonts w:ascii="Times New Roman" w:hAnsi="Times New Roman"/>
          <w:szCs w:val="24"/>
        </w:rPr>
        <w:t>di  prodotti</w:t>
      </w:r>
      <w:proofErr w:type="gramEnd"/>
      <w:r w:rsidRPr="00B67B81">
        <w:rPr>
          <w:rFonts w:ascii="Times New Roman" w:hAnsi="Times New Roman"/>
          <w:szCs w:val="24"/>
        </w:rPr>
        <w:t xml:space="preserve"> editoriali per la scuola;</w:t>
      </w:r>
    </w:p>
    <w:p w:rsidR="0056484D" w:rsidRPr="00B67B81" w:rsidRDefault="0056484D" w:rsidP="0056484D">
      <w:pPr>
        <w:numPr>
          <w:ilvl w:val="0"/>
          <w:numId w:val="1"/>
        </w:numPr>
        <w:tabs>
          <w:tab w:val="clear" w:pos="567"/>
        </w:tabs>
        <w:textAlignment w:val="auto"/>
        <w:rPr>
          <w:rFonts w:ascii="Times New Roman" w:hAnsi="Times New Roman"/>
          <w:szCs w:val="24"/>
        </w:rPr>
      </w:pPr>
      <w:r w:rsidRPr="00B67B81">
        <w:rPr>
          <w:rFonts w:ascii="Times New Roman" w:hAnsi="Times New Roman"/>
          <w:szCs w:val="24"/>
        </w:rPr>
        <w:t>Salute pubblica, medicina preventiva e riabilitativa;</w:t>
      </w:r>
    </w:p>
    <w:p w:rsidR="0056484D" w:rsidRPr="00B67B81" w:rsidRDefault="0056484D" w:rsidP="0056484D">
      <w:pPr>
        <w:numPr>
          <w:ilvl w:val="0"/>
          <w:numId w:val="1"/>
        </w:numPr>
        <w:tabs>
          <w:tab w:val="clear" w:pos="567"/>
        </w:tabs>
        <w:textAlignment w:val="auto"/>
        <w:rPr>
          <w:rFonts w:ascii="Times New Roman" w:hAnsi="Times New Roman"/>
          <w:szCs w:val="24"/>
        </w:rPr>
      </w:pPr>
      <w:r w:rsidRPr="00B67B81">
        <w:rPr>
          <w:rFonts w:ascii="Times New Roman" w:hAnsi="Times New Roman"/>
          <w:szCs w:val="24"/>
        </w:rPr>
        <w:t>Volontariato, filantropia e beneficenza;</w:t>
      </w:r>
    </w:p>
    <w:p w:rsidR="00C5362A" w:rsidRDefault="00C5362A" w:rsidP="00E16EC1">
      <w:pPr>
        <w:rPr>
          <w:rFonts w:asciiTheme="minorHAnsi" w:eastAsiaTheme="minorHAnsi" w:hAnsiTheme="minorHAnsi"/>
          <w:lang w:eastAsia="en-US"/>
        </w:rPr>
      </w:pPr>
    </w:p>
    <w:p w:rsidR="00C5362A" w:rsidRPr="000E412C" w:rsidRDefault="00C5362A" w:rsidP="00E16EC1">
      <w:pPr>
        <w:rPr>
          <w:rFonts w:asciiTheme="minorHAnsi" w:eastAsiaTheme="minorHAnsi" w:hAnsiTheme="minorHAnsi"/>
          <w:lang w:eastAsia="en-US"/>
        </w:rPr>
      </w:pPr>
    </w:p>
    <w:p w:rsidR="00C66EDF" w:rsidRPr="00735CEB" w:rsidRDefault="005312E7" w:rsidP="00070975">
      <w:pPr>
        <w:pStyle w:val="Corpodeltesto22"/>
        <w:tabs>
          <w:tab w:val="clear" w:pos="567"/>
        </w:tabs>
        <w:spacing w:line="240" w:lineRule="auto"/>
        <w:ind w:left="0" w:firstLine="0"/>
        <w:jc w:val="both"/>
        <w:rPr>
          <w:rFonts w:ascii="Times New Roman" w:hAnsi="Times New Roman"/>
          <w:b/>
          <w:iCs/>
          <w:szCs w:val="24"/>
        </w:rPr>
      </w:pPr>
      <w:r w:rsidRPr="00B27766">
        <w:rPr>
          <w:rFonts w:ascii="Times New Roman" w:hAnsi="Times New Roman"/>
          <w:b/>
          <w:iCs/>
          <w:szCs w:val="24"/>
        </w:rPr>
        <w:t>Attività erogativa</w:t>
      </w:r>
    </w:p>
    <w:p w:rsidR="00C66EDF" w:rsidRPr="009F02E4" w:rsidRDefault="00C66EDF" w:rsidP="00C66EDF">
      <w:pPr>
        <w:rPr>
          <w:rFonts w:ascii="Times New Roman" w:hAnsi="Times New Roman"/>
          <w:bCs/>
          <w:szCs w:val="24"/>
          <w:shd w:val="clear" w:color="auto" w:fill="FFFFFF"/>
        </w:rPr>
      </w:pPr>
      <w:r w:rsidRPr="009F02E4">
        <w:rPr>
          <w:rStyle w:val="Enfasigrassetto"/>
          <w:rFonts w:ascii="Times New Roman" w:hAnsi="Times New Roman"/>
          <w:b w:val="0"/>
          <w:szCs w:val="24"/>
          <w:shd w:val="clear" w:color="auto" w:fill="FFFFFF"/>
        </w:rPr>
        <w:t xml:space="preserve">Fondazione </w:t>
      </w:r>
      <w:proofErr w:type="gramStart"/>
      <w:r w:rsidRPr="009F02E4">
        <w:rPr>
          <w:rStyle w:val="Enfasigrassetto"/>
          <w:rFonts w:ascii="Times New Roman" w:hAnsi="Times New Roman"/>
          <w:b w:val="0"/>
          <w:szCs w:val="24"/>
          <w:shd w:val="clear" w:color="auto" w:fill="FFFFFF"/>
        </w:rPr>
        <w:t>Carivit  concedere</w:t>
      </w:r>
      <w:proofErr w:type="gramEnd"/>
      <w:r w:rsidRPr="009F02E4">
        <w:rPr>
          <w:rStyle w:val="Enfasigrassetto"/>
          <w:rFonts w:ascii="Times New Roman" w:hAnsi="Times New Roman"/>
          <w:b w:val="0"/>
          <w:szCs w:val="24"/>
          <w:shd w:val="clear" w:color="auto" w:fill="FFFFFF"/>
        </w:rPr>
        <w:t xml:space="preserve"> contributi esclusivamente ad enti non profit. Non sono previsti </w:t>
      </w:r>
      <w:r w:rsidRPr="009F02E4">
        <w:rPr>
          <w:rFonts w:ascii="Times New Roman" w:hAnsi="Times New Roman"/>
          <w:szCs w:val="24"/>
          <w:shd w:val="clear" w:color="auto" w:fill="FFFFFF"/>
        </w:rPr>
        <w:t xml:space="preserve">contributi o sovvenzioni di alcun genere né </w:t>
      </w:r>
      <w:proofErr w:type="gramStart"/>
      <w:r w:rsidRPr="009F02E4">
        <w:rPr>
          <w:rFonts w:ascii="Times New Roman" w:hAnsi="Times New Roman"/>
          <w:szCs w:val="24"/>
          <w:shd w:val="clear" w:color="auto" w:fill="FFFFFF"/>
        </w:rPr>
        <w:t>diretti  né</w:t>
      </w:r>
      <w:proofErr w:type="gramEnd"/>
      <w:r w:rsidRPr="009F02E4">
        <w:rPr>
          <w:rFonts w:ascii="Times New Roman" w:hAnsi="Times New Roman"/>
          <w:szCs w:val="24"/>
          <w:shd w:val="clear" w:color="auto" w:fill="FFFFFF"/>
        </w:rPr>
        <w:t xml:space="preserve"> indiretti ad enti con fini di lucro o imprese di qualsiasi natura, ad eccezione delle imprese sociali e delle cooperative sociali.</w:t>
      </w:r>
    </w:p>
    <w:p w:rsidR="00C66EDF" w:rsidRPr="00C66EDF" w:rsidRDefault="00C66EDF" w:rsidP="00C66EDF">
      <w:pPr>
        <w:rPr>
          <w:rFonts w:ascii="Times New Roman" w:hAnsi="Times New Roman"/>
          <w:szCs w:val="24"/>
          <w:shd w:val="clear" w:color="auto" w:fill="FFFFFF"/>
        </w:rPr>
      </w:pPr>
      <w:r w:rsidRPr="009F02E4">
        <w:rPr>
          <w:rFonts w:ascii="Times New Roman" w:hAnsi="Times New Roman"/>
          <w:szCs w:val="24"/>
          <w:shd w:val="clear" w:color="auto" w:fill="FFFFFF"/>
        </w:rPr>
        <w:t xml:space="preserve">La Fondazione opera principalmente attraverso la modalità del </w:t>
      </w:r>
      <w:r w:rsidRPr="009F02E4">
        <w:rPr>
          <w:rFonts w:ascii="Times New Roman" w:hAnsi="Times New Roman"/>
          <w:i/>
          <w:szCs w:val="24"/>
          <w:shd w:val="clear" w:color="auto" w:fill="FFFFFF"/>
        </w:rPr>
        <w:t>bando</w:t>
      </w:r>
      <w:r w:rsidRPr="009F02E4">
        <w:rPr>
          <w:rFonts w:ascii="Times New Roman" w:hAnsi="Times New Roman"/>
          <w:szCs w:val="24"/>
          <w:shd w:val="clear" w:color="auto" w:fill="FFFFFF"/>
        </w:rPr>
        <w:t xml:space="preserve">, ma </w:t>
      </w:r>
      <w:proofErr w:type="gramStart"/>
      <w:r w:rsidRPr="009F02E4">
        <w:rPr>
          <w:rFonts w:ascii="Times New Roman" w:hAnsi="Times New Roman"/>
          <w:szCs w:val="24"/>
          <w:shd w:val="clear" w:color="auto" w:fill="FFFFFF"/>
        </w:rPr>
        <w:t>prevede  la</w:t>
      </w:r>
      <w:proofErr w:type="gramEnd"/>
      <w:r w:rsidRPr="009F02E4">
        <w:rPr>
          <w:rFonts w:ascii="Times New Roman" w:hAnsi="Times New Roman"/>
          <w:szCs w:val="24"/>
          <w:shd w:val="clear" w:color="auto" w:fill="FFFFFF"/>
        </w:rPr>
        <w:t xml:space="preserve"> possibilità agli enti e alle organizzazioni non profit  di candidare in determinati settori e ambiti, mediante la modalità cd </w:t>
      </w:r>
      <w:r w:rsidRPr="009F02E4">
        <w:rPr>
          <w:rFonts w:ascii="Times New Roman" w:hAnsi="Times New Roman"/>
          <w:i/>
          <w:szCs w:val="24"/>
          <w:shd w:val="clear" w:color="auto" w:fill="FFFFFF"/>
        </w:rPr>
        <w:t>extra bando,</w:t>
      </w:r>
      <w:r w:rsidRPr="009F02E4">
        <w:rPr>
          <w:rFonts w:ascii="Times New Roman" w:hAnsi="Times New Roman"/>
          <w:szCs w:val="24"/>
          <w:shd w:val="clear" w:color="auto" w:fill="FFFFFF"/>
        </w:rPr>
        <w:t xml:space="preserve"> progetti che non siano riconducibili ai bandi  ma che risultano in linea con gli indirizzi, le priorità e gli obiettivi espressi nel presente Documento .</w:t>
      </w:r>
    </w:p>
    <w:p w:rsidR="00C66EDF" w:rsidRPr="00B27766" w:rsidRDefault="00C66EDF" w:rsidP="00070975">
      <w:pPr>
        <w:pStyle w:val="Corpodeltesto22"/>
        <w:tabs>
          <w:tab w:val="clear" w:pos="567"/>
        </w:tabs>
        <w:spacing w:line="240" w:lineRule="auto"/>
        <w:ind w:left="0" w:firstLine="0"/>
        <w:jc w:val="both"/>
        <w:rPr>
          <w:rFonts w:ascii="Times New Roman" w:hAnsi="Times New Roman"/>
          <w:b/>
          <w:iCs/>
          <w:szCs w:val="24"/>
        </w:rPr>
      </w:pPr>
    </w:p>
    <w:p w:rsidR="00070975" w:rsidRPr="00B27766" w:rsidRDefault="00070975" w:rsidP="00070975">
      <w:pPr>
        <w:pStyle w:val="Corpodeltesto22"/>
        <w:tabs>
          <w:tab w:val="clear" w:pos="567"/>
        </w:tabs>
        <w:spacing w:line="240" w:lineRule="auto"/>
        <w:ind w:left="0" w:firstLine="0"/>
        <w:jc w:val="both"/>
        <w:rPr>
          <w:rFonts w:ascii="Times New Roman" w:hAnsi="Times New Roman"/>
          <w:iCs/>
          <w:szCs w:val="24"/>
        </w:rPr>
      </w:pPr>
      <w:r w:rsidRPr="00B27766">
        <w:rPr>
          <w:rFonts w:ascii="Times New Roman" w:hAnsi="Times New Roman"/>
          <w:iCs/>
          <w:szCs w:val="24"/>
        </w:rPr>
        <w:t>Nel corso dell’attuazione delle scelte programmatiche, l’Organo di Amministrazione provvederà</w:t>
      </w:r>
      <w:r w:rsidR="005B74FD" w:rsidRPr="00B27766">
        <w:rPr>
          <w:rFonts w:ascii="Times New Roman" w:hAnsi="Times New Roman"/>
          <w:iCs/>
          <w:szCs w:val="24"/>
        </w:rPr>
        <w:t>,</w:t>
      </w:r>
      <w:r w:rsidRPr="00B27766">
        <w:rPr>
          <w:rFonts w:ascii="Times New Roman" w:hAnsi="Times New Roman"/>
          <w:iCs/>
          <w:szCs w:val="24"/>
        </w:rPr>
        <w:t xml:space="preserve"> nel rispetto delle proprie attribuzioni </w:t>
      </w:r>
      <w:proofErr w:type="gramStart"/>
      <w:r w:rsidRPr="00B27766">
        <w:rPr>
          <w:rFonts w:ascii="Times New Roman" w:hAnsi="Times New Roman"/>
          <w:iCs/>
          <w:szCs w:val="24"/>
        </w:rPr>
        <w:t>statutarie</w:t>
      </w:r>
      <w:r w:rsidR="005B74FD" w:rsidRPr="00B27766">
        <w:rPr>
          <w:rFonts w:ascii="Times New Roman" w:hAnsi="Times New Roman"/>
          <w:iCs/>
          <w:szCs w:val="24"/>
        </w:rPr>
        <w:t>,</w:t>
      </w:r>
      <w:r w:rsidRPr="00B27766">
        <w:rPr>
          <w:rFonts w:ascii="Times New Roman" w:hAnsi="Times New Roman"/>
          <w:iCs/>
          <w:szCs w:val="24"/>
        </w:rPr>
        <w:t xml:space="preserve">  alle</w:t>
      </w:r>
      <w:proofErr w:type="gramEnd"/>
      <w:r w:rsidRPr="00B27766">
        <w:rPr>
          <w:rFonts w:ascii="Times New Roman" w:hAnsi="Times New Roman"/>
          <w:iCs/>
          <w:szCs w:val="24"/>
        </w:rPr>
        <w:t xml:space="preserve"> determinazioni concernenti la individuazione  dei soggetti beneficiari degli interventi e dei relativi importi. </w:t>
      </w:r>
    </w:p>
    <w:p w:rsidR="00070975" w:rsidRPr="00B27766" w:rsidRDefault="00070975" w:rsidP="00070975">
      <w:pPr>
        <w:rPr>
          <w:rFonts w:ascii="Times New Roman" w:hAnsi="Times New Roman"/>
        </w:rPr>
      </w:pPr>
    </w:p>
    <w:p w:rsidR="009A4ADC" w:rsidRPr="00B27766" w:rsidRDefault="00A536A7" w:rsidP="009A4ADC">
      <w:pPr>
        <w:pStyle w:val="Nessunaspaziatura"/>
        <w:rPr>
          <w:rFonts w:ascii="Times New Roman" w:hAnsi="Times New Roman"/>
          <w:szCs w:val="24"/>
        </w:rPr>
      </w:pPr>
      <w:r w:rsidRPr="00B27766">
        <w:rPr>
          <w:rFonts w:ascii="Times New Roman" w:hAnsi="Times New Roman"/>
          <w:szCs w:val="24"/>
        </w:rPr>
        <w:t xml:space="preserve">Nel rispetto dei principi di trasparenza e di non discriminazione </w:t>
      </w:r>
      <w:proofErr w:type="gramStart"/>
      <w:r w:rsidR="00396654" w:rsidRPr="00B27766">
        <w:rPr>
          <w:rFonts w:ascii="Times New Roman" w:hAnsi="Times New Roman"/>
          <w:szCs w:val="24"/>
        </w:rPr>
        <w:t xml:space="preserve">nel </w:t>
      </w:r>
      <w:r w:rsidR="00E571CD" w:rsidRPr="00B27766">
        <w:rPr>
          <w:rFonts w:ascii="Times New Roman" w:hAnsi="Times New Roman"/>
          <w:szCs w:val="24"/>
        </w:rPr>
        <w:t xml:space="preserve"> perseguim</w:t>
      </w:r>
      <w:r w:rsidR="009A4ADC" w:rsidRPr="00B27766">
        <w:rPr>
          <w:rFonts w:ascii="Times New Roman" w:hAnsi="Times New Roman"/>
          <w:szCs w:val="24"/>
        </w:rPr>
        <w:t>ento</w:t>
      </w:r>
      <w:proofErr w:type="gramEnd"/>
      <w:r w:rsidR="009A4ADC" w:rsidRPr="00B27766">
        <w:rPr>
          <w:rFonts w:ascii="Times New Roman" w:hAnsi="Times New Roman"/>
          <w:szCs w:val="24"/>
        </w:rPr>
        <w:t xml:space="preserve"> degli obiettivi statutari</w:t>
      </w:r>
      <w:r w:rsidR="00200DD3">
        <w:rPr>
          <w:rFonts w:ascii="Times New Roman" w:hAnsi="Times New Roman"/>
          <w:szCs w:val="24"/>
        </w:rPr>
        <w:t xml:space="preserve">, </w:t>
      </w:r>
      <w:r w:rsidR="00396654" w:rsidRPr="00B27766">
        <w:rPr>
          <w:rFonts w:ascii="Times New Roman" w:hAnsi="Times New Roman"/>
          <w:szCs w:val="24"/>
        </w:rPr>
        <w:t xml:space="preserve"> </w:t>
      </w:r>
      <w:r w:rsidR="00200DD3">
        <w:rPr>
          <w:rFonts w:ascii="Times New Roman" w:hAnsi="Times New Roman"/>
          <w:szCs w:val="24"/>
        </w:rPr>
        <w:t xml:space="preserve"> proseguirà </w:t>
      </w:r>
      <w:r w:rsidR="007321BE" w:rsidRPr="00B27766">
        <w:rPr>
          <w:rFonts w:ascii="Times New Roman" w:hAnsi="Times New Roman"/>
          <w:szCs w:val="24"/>
        </w:rPr>
        <w:t>l</w:t>
      </w:r>
      <w:r w:rsidR="00542BF5" w:rsidRPr="00B27766">
        <w:rPr>
          <w:rFonts w:ascii="Times New Roman" w:hAnsi="Times New Roman"/>
          <w:szCs w:val="24"/>
        </w:rPr>
        <w:t>’impegno</w:t>
      </w:r>
      <w:r w:rsidR="005B09EB" w:rsidRPr="00B27766">
        <w:rPr>
          <w:rFonts w:ascii="Times New Roman" w:hAnsi="Times New Roman"/>
          <w:szCs w:val="24"/>
        </w:rPr>
        <w:t xml:space="preserve"> a fornire  una </w:t>
      </w:r>
      <w:r w:rsidR="00200DD3">
        <w:rPr>
          <w:rFonts w:ascii="Times New Roman" w:hAnsi="Times New Roman"/>
          <w:szCs w:val="24"/>
        </w:rPr>
        <w:t xml:space="preserve"> opportuna </w:t>
      </w:r>
      <w:r w:rsidR="005B09EB" w:rsidRPr="00B27766">
        <w:rPr>
          <w:rFonts w:ascii="Times New Roman" w:hAnsi="Times New Roman"/>
          <w:szCs w:val="24"/>
        </w:rPr>
        <w:t xml:space="preserve">visibilità degli interventi posti in essere mediante </w:t>
      </w:r>
      <w:r w:rsidR="00542BF5" w:rsidRPr="00B27766">
        <w:rPr>
          <w:rFonts w:ascii="Times New Roman" w:hAnsi="Times New Roman"/>
          <w:szCs w:val="24"/>
        </w:rPr>
        <w:t xml:space="preserve"> </w:t>
      </w:r>
      <w:r w:rsidR="005B09EB" w:rsidRPr="00B27766">
        <w:rPr>
          <w:rFonts w:ascii="Times New Roman" w:hAnsi="Times New Roman"/>
          <w:szCs w:val="24"/>
        </w:rPr>
        <w:t xml:space="preserve">adeguata </w:t>
      </w:r>
      <w:r w:rsidR="00396654" w:rsidRPr="00B27766">
        <w:rPr>
          <w:rFonts w:ascii="Times New Roman" w:hAnsi="Times New Roman"/>
          <w:szCs w:val="24"/>
        </w:rPr>
        <w:t xml:space="preserve"> </w:t>
      </w:r>
      <w:r w:rsidR="005B09EB" w:rsidRPr="00B27766">
        <w:rPr>
          <w:rFonts w:ascii="Times New Roman" w:hAnsi="Times New Roman"/>
          <w:szCs w:val="24"/>
        </w:rPr>
        <w:t xml:space="preserve">rendicontazione </w:t>
      </w:r>
      <w:r w:rsidR="009A4ADC" w:rsidRPr="00B27766">
        <w:rPr>
          <w:rFonts w:ascii="Times New Roman" w:hAnsi="Times New Roman"/>
          <w:szCs w:val="24"/>
        </w:rPr>
        <w:t xml:space="preserve"> nei confronti della comunità </w:t>
      </w:r>
      <w:r w:rsidR="005B09EB" w:rsidRPr="00B27766">
        <w:rPr>
          <w:rFonts w:ascii="Times New Roman" w:hAnsi="Times New Roman"/>
          <w:szCs w:val="24"/>
        </w:rPr>
        <w:t>del</w:t>
      </w:r>
      <w:r w:rsidR="007E5A86" w:rsidRPr="00B27766">
        <w:rPr>
          <w:rFonts w:ascii="Times New Roman" w:hAnsi="Times New Roman"/>
          <w:szCs w:val="24"/>
        </w:rPr>
        <w:t>le iniziative   della Fondazione sia di quelle condotte in forma diretta che di quella alle quali la stessa collabora e/o compartecipa economicamente</w:t>
      </w:r>
      <w:r w:rsidR="00200DD3">
        <w:rPr>
          <w:rFonts w:ascii="Times New Roman" w:hAnsi="Times New Roman"/>
          <w:szCs w:val="24"/>
        </w:rPr>
        <w:t xml:space="preserve">, </w:t>
      </w:r>
      <w:r w:rsidR="005B09EB" w:rsidRPr="00B27766">
        <w:rPr>
          <w:rFonts w:ascii="Times New Roman" w:hAnsi="Times New Roman"/>
          <w:szCs w:val="24"/>
        </w:rPr>
        <w:t xml:space="preserve"> </w:t>
      </w:r>
      <w:r w:rsidR="00396654" w:rsidRPr="00B27766">
        <w:rPr>
          <w:rFonts w:ascii="Times New Roman" w:hAnsi="Times New Roman"/>
          <w:szCs w:val="24"/>
        </w:rPr>
        <w:t xml:space="preserve">sia </w:t>
      </w:r>
      <w:r w:rsidR="007E5A86" w:rsidRPr="00B27766">
        <w:rPr>
          <w:rFonts w:ascii="Times New Roman" w:hAnsi="Times New Roman"/>
          <w:szCs w:val="24"/>
        </w:rPr>
        <w:t xml:space="preserve"> </w:t>
      </w:r>
      <w:r w:rsidR="00396654" w:rsidRPr="00B27766">
        <w:rPr>
          <w:rFonts w:ascii="Times New Roman" w:hAnsi="Times New Roman"/>
          <w:szCs w:val="24"/>
        </w:rPr>
        <w:t xml:space="preserve">mediante il </w:t>
      </w:r>
      <w:r w:rsidR="009A4ADC" w:rsidRPr="00B27766">
        <w:rPr>
          <w:rFonts w:ascii="Times New Roman" w:hAnsi="Times New Roman"/>
          <w:szCs w:val="24"/>
        </w:rPr>
        <w:t xml:space="preserve"> monitoraggio </w:t>
      </w:r>
      <w:r w:rsidR="00396654" w:rsidRPr="00B27766">
        <w:rPr>
          <w:rFonts w:ascii="Times New Roman" w:hAnsi="Times New Roman"/>
          <w:iCs/>
          <w:szCs w:val="24"/>
        </w:rPr>
        <w:t xml:space="preserve">in itinere che </w:t>
      </w:r>
      <w:r w:rsidR="00542BF5" w:rsidRPr="00B27766">
        <w:rPr>
          <w:rFonts w:ascii="Times New Roman" w:hAnsi="Times New Roman"/>
          <w:szCs w:val="24"/>
        </w:rPr>
        <w:t xml:space="preserve"> di </w:t>
      </w:r>
      <w:r w:rsidR="00396654" w:rsidRPr="00B27766">
        <w:rPr>
          <w:rFonts w:ascii="Times New Roman" w:hAnsi="Times New Roman"/>
          <w:szCs w:val="24"/>
        </w:rPr>
        <w:t xml:space="preserve">valutazione </w:t>
      </w:r>
      <w:r w:rsidR="00200DD3">
        <w:rPr>
          <w:rFonts w:ascii="Times New Roman" w:hAnsi="Times New Roman"/>
          <w:iCs/>
          <w:szCs w:val="24"/>
        </w:rPr>
        <w:t xml:space="preserve"> </w:t>
      </w:r>
      <w:r w:rsidR="009A4ADC" w:rsidRPr="00B27766">
        <w:rPr>
          <w:rFonts w:ascii="Times New Roman" w:hAnsi="Times New Roman"/>
          <w:iCs/>
          <w:szCs w:val="24"/>
        </w:rPr>
        <w:t>ex post</w:t>
      </w:r>
      <w:r w:rsidR="00963BB2" w:rsidRPr="00B27766">
        <w:rPr>
          <w:rFonts w:ascii="Times New Roman" w:hAnsi="Times New Roman"/>
          <w:szCs w:val="24"/>
        </w:rPr>
        <w:t>.</w:t>
      </w:r>
    </w:p>
    <w:p w:rsidR="00A50A07" w:rsidRPr="00B27766" w:rsidRDefault="00A50A07" w:rsidP="00E571CD">
      <w:pPr>
        <w:rPr>
          <w:rFonts w:ascii="Times New Roman" w:hAnsi="Times New Roman"/>
          <w:szCs w:val="24"/>
        </w:rPr>
      </w:pPr>
    </w:p>
    <w:p w:rsidR="00E571CD" w:rsidRPr="00B27766" w:rsidRDefault="00E571CD" w:rsidP="00E571CD">
      <w:pPr>
        <w:rPr>
          <w:rFonts w:ascii="Times New Roman" w:hAnsi="Times New Roman"/>
          <w:szCs w:val="24"/>
        </w:rPr>
      </w:pPr>
      <w:r w:rsidRPr="00B27766">
        <w:rPr>
          <w:rFonts w:ascii="Times New Roman" w:hAnsi="Times New Roman"/>
          <w:szCs w:val="24"/>
        </w:rPr>
        <w:t xml:space="preserve">Si conferma </w:t>
      </w:r>
      <w:proofErr w:type="gramStart"/>
      <w:r w:rsidRPr="00B27766">
        <w:rPr>
          <w:rFonts w:ascii="Times New Roman" w:hAnsi="Times New Roman"/>
          <w:szCs w:val="24"/>
        </w:rPr>
        <w:t>altresì  l’interesse</w:t>
      </w:r>
      <w:proofErr w:type="gramEnd"/>
      <w:r w:rsidRPr="00B27766">
        <w:rPr>
          <w:rFonts w:ascii="Times New Roman" w:hAnsi="Times New Roman"/>
          <w:szCs w:val="24"/>
        </w:rPr>
        <w:t xml:space="preserve">  nella ricerca di realizzazione di iniziative comuni finalizzate alla </w:t>
      </w:r>
      <w:r w:rsidR="005B74FD" w:rsidRPr="00B27766">
        <w:rPr>
          <w:rFonts w:ascii="Times New Roman" w:hAnsi="Times New Roman"/>
          <w:szCs w:val="24"/>
        </w:rPr>
        <w:t xml:space="preserve"> attuazione </w:t>
      </w:r>
      <w:r w:rsidRPr="00B27766">
        <w:rPr>
          <w:rFonts w:ascii="Times New Roman" w:hAnsi="Times New Roman"/>
          <w:szCs w:val="24"/>
        </w:rPr>
        <w:t>di progetti di ampio respiro secondo una logica di interventi indirizzata a “fare sistema” tra i diversi soggetti, a cominciare dai nodi più permeabili in questa direzione (quelli del volontariato, delle scuole, della tutela e valorizzazione del patrim</w:t>
      </w:r>
      <w:r w:rsidR="006C1837" w:rsidRPr="00B27766">
        <w:rPr>
          <w:rFonts w:ascii="Times New Roman" w:hAnsi="Times New Roman"/>
          <w:szCs w:val="24"/>
        </w:rPr>
        <w:t xml:space="preserve">onio artistico e archeologico). </w:t>
      </w:r>
      <w:r w:rsidR="00A8198A" w:rsidRPr="00B27766">
        <w:rPr>
          <w:rFonts w:ascii="Times New Roman" w:hAnsi="Times New Roman"/>
          <w:szCs w:val="24"/>
        </w:rPr>
        <w:t>In quest’</w:t>
      </w:r>
      <w:r w:rsidRPr="00B27766">
        <w:rPr>
          <w:rFonts w:ascii="Times New Roman" w:hAnsi="Times New Roman"/>
          <w:szCs w:val="24"/>
        </w:rPr>
        <w:t xml:space="preserve"> ottica si darà particolare </w:t>
      </w:r>
      <w:proofErr w:type="gramStart"/>
      <w:r w:rsidRPr="00B27766">
        <w:rPr>
          <w:rFonts w:ascii="Times New Roman" w:hAnsi="Times New Roman"/>
          <w:szCs w:val="24"/>
        </w:rPr>
        <w:t xml:space="preserve">attenzione </w:t>
      </w:r>
      <w:r w:rsidR="00600ACB" w:rsidRPr="00B27766">
        <w:rPr>
          <w:rFonts w:ascii="Times New Roman" w:hAnsi="Times New Roman"/>
          <w:szCs w:val="24"/>
        </w:rPr>
        <w:t xml:space="preserve"> </w:t>
      </w:r>
      <w:r w:rsidR="005B74FD" w:rsidRPr="00B27766">
        <w:rPr>
          <w:rFonts w:ascii="Times New Roman" w:hAnsi="Times New Roman"/>
          <w:szCs w:val="24"/>
        </w:rPr>
        <w:t>alla</w:t>
      </w:r>
      <w:proofErr w:type="gramEnd"/>
      <w:r w:rsidR="005B74FD" w:rsidRPr="00B27766">
        <w:rPr>
          <w:rFonts w:ascii="Times New Roman" w:hAnsi="Times New Roman"/>
          <w:szCs w:val="24"/>
        </w:rPr>
        <w:t xml:space="preserve"> ricerca di </w:t>
      </w:r>
      <w:r w:rsidR="00600ACB" w:rsidRPr="00B27766">
        <w:rPr>
          <w:rFonts w:ascii="Times New Roman" w:hAnsi="Times New Roman"/>
          <w:szCs w:val="24"/>
        </w:rPr>
        <w:t xml:space="preserve">ogni possibile sinergia e forma di collaborazione  in primis </w:t>
      </w:r>
      <w:r w:rsidR="00BE7EB5" w:rsidRPr="00B27766">
        <w:rPr>
          <w:rFonts w:ascii="Times New Roman" w:hAnsi="Times New Roman"/>
          <w:szCs w:val="24"/>
        </w:rPr>
        <w:t xml:space="preserve"> con le f</w:t>
      </w:r>
      <w:r w:rsidRPr="00B27766">
        <w:rPr>
          <w:rFonts w:ascii="Times New Roman" w:hAnsi="Times New Roman"/>
          <w:szCs w:val="24"/>
        </w:rPr>
        <w:t>ondazioni</w:t>
      </w:r>
      <w:r w:rsidR="002E6A13" w:rsidRPr="00B27766">
        <w:rPr>
          <w:rFonts w:ascii="Times New Roman" w:hAnsi="Times New Roman"/>
          <w:szCs w:val="24"/>
        </w:rPr>
        <w:t xml:space="preserve"> partecipanti alla Consulta delle Fondazioni del Lazio</w:t>
      </w:r>
      <w:r w:rsidR="00183428" w:rsidRPr="00B27766">
        <w:rPr>
          <w:rFonts w:ascii="Times New Roman" w:hAnsi="Times New Roman"/>
          <w:szCs w:val="24"/>
        </w:rPr>
        <w:t>:</w:t>
      </w:r>
      <w:r w:rsidR="002E6A13" w:rsidRPr="00B27766">
        <w:rPr>
          <w:rFonts w:ascii="Times New Roman" w:hAnsi="Times New Roman"/>
          <w:szCs w:val="24"/>
        </w:rPr>
        <w:t xml:space="preserve"> Fondazione CR di Civitavecchia, Fondazion</w:t>
      </w:r>
      <w:r w:rsidR="007321BE" w:rsidRPr="00B27766">
        <w:rPr>
          <w:rFonts w:ascii="Times New Roman" w:hAnsi="Times New Roman"/>
          <w:szCs w:val="24"/>
        </w:rPr>
        <w:t xml:space="preserve">e Varrone di Rieti e Fondazione </w:t>
      </w:r>
      <w:r w:rsidR="00183428" w:rsidRPr="00B27766">
        <w:rPr>
          <w:rFonts w:ascii="Times New Roman" w:hAnsi="Times New Roman"/>
          <w:szCs w:val="24"/>
        </w:rPr>
        <w:t>N</w:t>
      </w:r>
      <w:r w:rsidR="007321BE" w:rsidRPr="00B27766">
        <w:rPr>
          <w:rFonts w:ascii="Times New Roman" w:hAnsi="Times New Roman"/>
          <w:szCs w:val="24"/>
        </w:rPr>
        <w:t xml:space="preserve">azionale delle </w:t>
      </w:r>
      <w:r w:rsidR="00183428" w:rsidRPr="00B27766">
        <w:rPr>
          <w:rFonts w:ascii="Times New Roman" w:hAnsi="Times New Roman"/>
          <w:szCs w:val="24"/>
        </w:rPr>
        <w:t>C</w:t>
      </w:r>
      <w:r w:rsidR="007321BE" w:rsidRPr="00B27766">
        <w:rPr>
          <w:rFonts w:ascii="Times New Roman" w:hAnsi="Times New Roman"/>
          <w:szCs w:val="24"/>
        </w:rPr>
        <w:t>omunicazioni</w:t>
      </w:r>
      <w:r w:rsidRPr="00B27766">
        <w:rPr>
          <w:rFonts w:ascii="Times New Roman" w:hAnsi="Times New Roman"/>
          <w:szCs w:val="24"/>
        </w:rPr>
        <w:t>.</w:t>
      </w:r>
    </w:p>
    <w:p w:rsidR="001430B7" w:rsidRPr="00B27766" w:rsidRDefault="001430B7" w:rsidP="00675AD0">
      <w:pPr>
        <w:rPr>
          <w:rFonts w:ascii="Times New Roman" w:hAnsi="Times New Roman"/>
          <w:szCs w:val="24"/>
        </w:rPr>
      </w:pPr>
    </w:p>
    <w:p w:rsidR="0025250C" w:rsidRPr="009F02E4" w:rsidRDefault="00BE7EB5" w:rsidP="0025250C">
      <w:pPr>
        <w:rPr>
          <w:rFonts w:ascii="Times New Roman" w:hAnsi="Times New Roman"/>
        </w:rPr>
      </w:pPr>
      <w:r w:rsidRPr="00B27766">
        <w:rPr>
          <w:rFonts w:ascii="Times New Roman" w:hAnsi="Times New Roman"/>
          <w:szCs w:val="24"/>
        </w:rPr>
        <w:t>L’ attività erogativa andrà</w:t>
      </w:r>
      <w:r w:rsidR="00A50A07" w:rsidRPr="00B27766">
        <w:rPr>
          <w:rFonts w:ascii="Times New Roman" w:hAnsi="Times New Roman"/>
          <w:szCs w:val="24"/>
        </w:rPr>
        <w:t xml:space="preserve"> adeguata </w:t>
      </w:r>
      <w:r w:rsidR="00675AD0" w:rsidRPr="00B27766">
        <w:rPr>
          <w:rFonts w:ascii="Times New Roman" w:hAnsi="Times New Roman"/>
          <w:szCs w:val="24"/>
        </w:rPr>
        <w:t xml:space="preserve">al modificarsi del contesto </w:t>
      </w:r>
      <w:proofErr w:type="gramStart"/>
      <w:r w:rsidR="00675AD0" w:rsidRPr="00B27766">
        <w:rPr>
          <w:rFonts w:ascii="Times New Roman" w:hAnsi="Times New Roman"/>
          <w:szCs w:val="24"/>
        </w:rPr>
        <w:t>territoriale</w:t>
      </w:r>
      <w:r w:rsidR="00FF4653" w:rsidRPr="00B27766">
        <w:rPr>
          <w:rFonts w:ascii="Times New Roman" w:hAnsi="Times New Roman"/>
          <w:szCs w:val="24"/>
        </w:rPr>
        <w:t>,</w:t>
      </w:r>
      <w:r w:rsidR="00675AD0" w:rsidRPr="00B27766">
        <w:rPr>
          <w:rFonts w:ascii="Times New Roman" w:hAnsi="Times New Roman"/>
          <w:szCs w:val="24"/>
        </w:rPr>
        <w:t xml:space="preserve">  alle</w:t>
      </w:r>
      <w:proofErr w:type="gramEnd"/>
      <w:r w:rsidR="00675AD0" w:rsidRPr="00B27766">
        <w:rPr>
          <w:rFonts w:ascii="Times New Roman" w:hAnsi="Times New Roman"/>
          <w:szCs w:val="24"/>
        </w:rPr>
        <w:t xml:space="preserve">  aspettative dei rendimenti del </w:t>
      </w:r>
      <w:r w:rsidR="00675AD0" w:rsidRPr="009F02E4">
        <w:rPr>
          <w:rFonts w:ascii="Times New Roman" w:hAnsi="Times New Roman"/>
          <w:szCs w:val="24"/>
        </w:rPr>
        <w:t>patrimonio finanziario inv</w:t>
      </w:r>
      <w:r w:rsidR="0025250C" w:rsidRPr="009F02E4">
        <w:rPr>
          <w:rFonts w:ascii="Times New Roman" w:hAnsi="Times New Roman"/>
          <w:szCs w:val="24"/>
        </w:rPr>
        <w:t>estito nonché</w:t>
      </w:r>
      <w:r w:rsidR="00200DD3" w:rsidRPr="009F02E4">
        <w:rPr>
          <w:rFonts w:ascii="Times New Roman" w:hAnsi="Times New Roman"/>
          <w:szCs w:val="24"/>
        </w:rPr>
        <w:t xml:space="preserve"> </w:t>
      </w:r>
      <w:r w:rsidR="00200DD3" w:rsidRPr="009F02E4">
        <w:rPr>
          <w:rFonts w:ascii="Times New Roman" w:hAnsi="Times New Roman"/>
        </w:rPr>
        <w:t xml:space="preserve">i vantaggi fiscali  </w:t>
      </w:r>
      <w:r w:rsidR="0025250C" w:rsidRPr="009F02E4">
        <w:rPr>
          <w:rFonts w:ascii="Times New Roman" w:hAnsi="Times New Roman"/>
        </w:rPr>
        <w:t xml:space="preserve"> previst</w:t>
      </w:r>
      <w:r w:rsidR="00200DD3" w:rsidRPr="009F02E4">
        <w:rPr>
          <w:rFonts w:ascii="Times New Roman" w:hAnsi="Times New Roman"/>
        </w:rPr>
        <w:t xml:space="preserve">i dalla normativa di settore </w:t>
      </w:r>
      <w:r w:rsidR="00200DD3" w:rsidRPr="009F02E4">
        <w:rPr>
          <w:rFonts w:ascii="Times New Roman" w:eastAsiaTheme="minorHAnsi" w:hAnsi="Times New Roman"/>
          <w:iCs/>
          <w:lang w:eastAsia="en-US"/>
        </w:rPr>
        <w:t>che</w:t>
      </w:r>
      <w:r w:rsidR="0025250C" w:rsidRPr="009F02E4">
        <w:rPr>
          <w:rFonts w:ascii="Times New Roman" w:hAnsi="Times New Roman"/>
        </w:rPr>
        <w:t xml:space="preserve"> cos</w:t>
      </w:r>
      <w:r w:rsidR="00200DD3" w:rsidRPr="009F02E4">
        <w:rPr>
          <w:rFonts w:ascii="Times New Roman" w:hAnsi="Times New Roman"/>
        </w:rPr>
        <w:t>tituiscono un elemento cui si porrà</w:t>
      </w:r>
      <w:r w:rsidR="00200DD3">
        <w:rPr>
          <w:rFonts w:ascii="Times New Roman" w:hAnsi="Times New Roman"/>
        </w:rPr>
        <w:t xml:space="preserve"> </w:t>
      </w:r>
      <w:r w:rsidR="0025250C" w:rsidRPr="00B27766">
        <w:rPr>
          <w:rFonts w:ascii="Times New Roman" w:hAnsi="Times New Roman"/>
        </w:rPr>
        <w:t xml:space="preserve"> particolare attenzione  </w:t>
      </w:r>
      <w:r w:rsidR="0025250C" w:rsidRPr="00B27766">
        <w:rPr>
          <w:rFonts w:ascii="Times New Roman" w:hAnsi="Times New Roman"/>
          <w:szCs w:val="24"/>
        </w:rPr>
        <w:t>ai f</w:t>
      </w:r>
      <w:r w:rsidR="0025250C" w:rsidRPr="00B27766">
        <w:rPr>
          <w:rFonts w:ascii="Times New Roman" w:hAnsi="Times New Roman"/>
        </w:rPr>
        <w:t xml:space="preserve">ini di una pianificazione delle </w:t>
      </w:r>
      <w:r w:rsidR="0025250C" w:rsidRPr="00B27766">
        <w:rPr>
          <w:rFonts w:ascii="Times New Roman" w:hAnsi="Times New Roman"/>
          <w:szCs w:val="24"/>
        </w:rPr>
        <w:t>erogazioni</w:t>
      </w:r>
      <w:r w:rsidR="0025250C" w:rsidRPr="00B27766">
        <w:rPr>
          <w:rFonts w:ascii="Times New Roman" w:hAnsi="Times New Roman"/>
        </w:rPr>
        <w:t>.</w:t>
      </w:r>
    </w:p>
    <w:p w:rsidR="00675AD0" w:rsidRPr="00B27766" w:rsidRDefault="00675AD0" w:rsidP="00675AD0">
      <w:pPr>
        <w:rPr>
          <w:rFonts w:ascii="Times New Roman" w:hAnsi="Times New Roman"/>
          <w:szCs w:val="24"/>
        </w:rPr>
      </w:pPr>
    </w:p>
    <w:p w:rsidR="00A50A07" w:rsidRPr="00B27766" w:rsidRDefault="00A50A07" w:rsidP="00A50A07">
      <w:pPr>
        <w:rPr>
          <w:rFonts w:ascii="Times New Roman" w:hAnsi="Times New Roman"/>
          <w:szCs w:val="24"/>
        </w:rPr>
      </w:pPr>
      <w:r w:rsidRPr="00B27766">
        <w:rPr>
          <w:rFonts w:ascii="Times New Roman" w:hAnsi="Times New Roman"/>
          <w:szCs w:val="24"/>
        </w:rPr>
        <w:t xml:space="preserve">Più in dettaglio l’operatività dovrà </w:t>
      </w:r>
      <w:proofErr w:type="gramStart"/>
      <w:r w:rsidRPr="00B27766">
        <w:rPr>
          <w:rFonts w:ascii="Times New Roman" w:hAnsi="Times New Roman"/>
          <w:szCs w:val="24"/>
        </w:rPr>
        <w:t>tenere  conto</w:t>
      </w:r>
      <w:proofErr w:type="gramEnd"/>
      <w:r w:rsidR="00BE7EB5" w:rsidRPr="00B27766">
        <w:rPr>
          <w:rFonts w:ascii="Times New Roman" w:hAnsi="Times New Roman"/>
          <w:szCs w:val="24"/>
        </w:rPr>
        <w:t>:</w:t>
      </w:r>
    </w:p>
    <w:p w:rsidR="00675AD0" w:rsidRPr="00B27766" w:rsidRDefault="00675AD0" w:rsidP="00BE7EB5">
      <w:pPr>
        <w:pStyle w:val="Paragrafoelenco"/>
        <w:numPr>
          <w:ilvl w:val="0"/>
          <w:numId w:val="18"/>
        </w:numPr>
        <w:spacing w:line="240" w:lineRule="auto"/>
        <w:ind w:left="714" w:hanging="357"/>
        <w:jc w:val="both"/>
        <w:rPr>
          <w:rFonts w:ascii="Times New Roman" w:hAnsi="Times New Roman"/>
          <w:sz w:val="24"/>
          <w:szCs w:val="24"/>
        </w:rPr>
      </w:pPr>
      <w:r w:rsidRPr="00B27766">
        <w:rPr>
          <w:rFonts w:ascii="Times New Roman" w:hAnsi="Times New Roman"/>
          <w:sz w:val="24"/>
          <w:szCs w:val="24"/>
        </w:rPr>
        <w:t>di estendere quanto più possibile gli interventi dell’ente in modo equilibrato e differenziato su tutto il territorio di riferimento</w:t>
      </w:r>
      <w:r w:rsidR="005B74FD" w:rsidRPr="00B27766">
        <w:rPr>
          <w:rFonts w:ascii="Times New Roman" w:hAnsi="Times New Roman"/>
          <w:sz w:val="24"/>
          <w:szCs w:val="24"/>
        </w:rPr>
        <w:t xml:space="preserve"> (la Provincia di </w:t>
      </w:r>
      <w:proofErr w:type="gramStart"/>
      <w:r w:rsidR="005B74FD" w:rsidRPr="00B27766">
        <w:rPr>
          <w:rFonts w:ascii="Times New Roman" w:hAnsi="Times New Roman"/>
          <w:sz w:val="24"/>
          <w:szCs w:val="24"/>
        </w:rPr>
        <w:t xml:space="preserve">Viterbo) </w:t>
      </w:r>
      <w:r w:rsidRPr="00B27766">
        <w:rPr>
          <w:rFonts w:ascii="Times New Roman" w:hAnsi="Times New Roman"/>
          <w:sz w:val="24"/>
          <w:szCs w:val="24"/>
        </w:rPr>
        <w:t xml:space="preserve"> limitando</w:t>
      </w:r>
      <w:proofErr w:type="gramEnd"/>
      <w:r w:rsidRPr="00B27766">
        <w:rPr>
          <w:rFonts w:ascii="Times New Roman" w:hAnsi="Times New Roman"/>
          <w:sz w:val="24"/>
          <w:szCs w:val="24"/>
        </w:rPr>
        <w:t xml:space="preserve"> comunque  la frammentazione delle risorse</w:t>
      </w:r>
      <w:r w:rsidR="00A8198A" w:rsidRPr="00B27766">
        <w:rPr>
          <w:rFonts w:ascii="Times New Roman" w:hAnsi="Times New Roman"/>
          <w:sz w:val="24"/>
          <w:szCs w:val="24"/>
        </w:rPr>
        <w:t xml:space="preserve">. Il sostegno </w:t>
      </w:r>
      <w:proofErr w:type="gramStart"/>
      <w:r w:rsidR="00A8198A" w:rsidRPr="00B27766">
        <w:rPr>
          <w:rFonts w:ascii="Times New Roman" w:hAnsi="Times New Roman"/>
          <w:sz w:val="24"/>
          <w:szCs w:val="24"/>
        </w:rPr>
        <w:t>a</w:t>
      </w:r>
      <w:r w:rsidR="00406195" w:rsidRPr="00B27766">
        <w:rPr>
          <w:rFonts w:ascii="Times New Roman" w:hAnsi="Times New Roman"/>
          <w:sz w:val="24"/>
          <w:szCs w:val="24"/>
        </w:rPr>
        <w:t xml:space="preserve">  iniziative</w:t>
      </w:r>
      <w:proofErr w:type="gramEnd"/>
      <w:r w:rsidR="00406195" w:rsidRPr="00B27766">
        <w:rPr>
          <w:rFonts w:ascii="Times New Roman" w:hAnsi="Times New Roman"/>
          <w:sz w:val="24"/>
          <w:szCs w:val="24"/>
        </w:rPr>
        <w:t xml:space="preserve"> locali di minore ampiezza verrà riservato solo a quelle in grado  di dare un significativo  contributo alla promozione del tessuto sociale, economico e culturale della realtà interessata</w:t>
      </w:r>
      <w:r w:rsidRPr="00B27766">
        <w:rPr>
          <w:rFonts w:ascii="Times New Roman" w:hAnsi="Times New Roman"/>
          <w:sz w:val="24"/>
          <w:szCs w:val="24"/>
        </w:rPr>
        <w:t>;</w:t>
      </w:r>
    </w:p>
    <w:p w:rsidR="00A50A07" w:rsidRPr="00B27766"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B27766">
        <w:rPr>
          <w:rFonts w:ascii="Times New Roman" w:hAnsi="Times New Roman"/>
          <w:sz w:val="24"/>
          <w:szCs w:val="24"/>
        </w:rPr>
        <w:t>di favorire progetti che fungano da moltiplicatori di energie sociali, scientifiche e culturali,</w:t>
      </w:r>
    </w:p>
    <w:p w:rsidR="00A50A07" w:rsidRPr="00B27766"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B27766">
        <w:rPr>
          <w:rFonts w:ascii="Times New Roman" w:hAnsi="Times New Roman"/>
          <w:sz w:val="24"/>
          <w:szCs w:val="24"/>
        </w:rPr>
        <w:t>di favorire per quanto possibile l’avvio di iniziative che successivamente siano in grado di autofinanziarsi;</w:t>
      </w:r>
    </w:p>
    <w:p w:rsidR="00A50A07" w:rsidRPr="00B27766"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B27766">
        <w:rPr>
          <w:rFonts w:ascii="Times New Roman" w:hAnsi="Times New Roman"/>
          <w:sz w:val="24"/>
          <w:szCs w:val="24"/>
        </w:rPr>
        <w:t>di favorire interventi con effetti duraturi;</w:t>
      </w:r>
    </w:p>
    <w:p w:rsidR="00675AD0" w:rsidRPr="00B27766" w:rsidRDefault="00675AD0" w:rsidP="00406195">
      <w:pPr>
        <w:pStyle w:val="Paragrafoelenco"/>
        <w:numPr>
          <w:ilvl w:val="0"/>
          <w:numId w:val="17"/>
        </w:numPr>
        <w:spacing w:line="240" w:lineRule="auto"/>
        <w:ind w:left="714" w:hanging="357"/>
        <w:jc w:val="both"/>
        <w:rPr>
          <w:rFonts w:ascii="Times New Roman" w:hAnsi="Times New Roman"/>
          <w:sz w:val="24"/>
          <w:szCs w:val="24"/>
        </w:rPr>
      </w:pPr>
      <w:r w:rsidRPr="00B27766">
        <w:rPr>
          <w:rFonts w:ascii="Times New Roman" w:hAnsi="Times New Roman"/>
          <w:sz w:val="24"/>
          <w:szCs w:val="24"/>
        </w:rPr>
        <w:t>di privileg</w:t>
      </w:r>
      <w:r w:rsidR="00375E8B" w:rsidRPr="00B27766">
        <w:rPr>
          <w:rFonts w:ascii="Times New Roman" w:hAnsi="Times New Roman"/>
          <w:sz w:val="24"/>
          <w:szCs w:val="24"/>
        </w:rPr>
        <w:t>iare per le iniziative progettat</w:t>
      </w:r>
      <w:r w:rsidRPr="00B27766">
        <w:rPr>
          <w:rFonts w:ascii="Times New Roman" w:hAnsi="Times New Roman"/>
          <w:sz w:val="24"/>
          <w:szCs w:val="24"/>
        </w:rPr>
        <w:t>e e realizzate da terzi quelle sostenute da cofinanziamenti.</w:t>
      </w:r>
    </w:p>
    <w:p w:rsidR="00675AD0" w:rsidRPr="00B27766" w:rsidRDefault="00675AD0" w:rsidP="00675AD0">
      <w:pPr>
        <w:rPr>
          <w:rFonts w:ascii="Times New Roman" w:hAnsi="Times New Roman"/>
          <w:szCs w:val="24"/>
        </w:rPr>
      </w:pPr>
    </w:p>
    <w:p w:rsidR="00675AD0" w:rsidRPr="00B27766" w:rsidRDefault="00675AD0" w:rsidP="00EB08BD">
      <w:pPr>
        <w:rPr>
          <w:rFonts w:ascii="Times New Roman" w:hAnsi="Times New Roman"/>
          <w:szCs w:val="24"/>
        </w:rPr>
      </w:pPr>
      <w:r w:rsidRPr="00B27766">
        <w:rPr>
          <w:rFonts w:ascii="Times New Roman" w:hAnsi="Times New Roman"/>
          <w:iCs/>
          <w:szCs w:val="24"/>
        </w:rPr>
        <w:t xml:space="preserve">Nello svolgimento delle   </w:t>
      </w:r>
      <w:proofErr w:type="gramStart"/>
      <w:r w:rsidRPr="00B27766">
        <w:rPr>
          <w:rFonts w:ascii="Times New Roman" w:hAnsi="Times New Roman"/>
          <w:iCs/>
          <w:szCs w:val="24"/>
        </w:rPr>
        <w:t>attività  di</w:t>
      </w:r>
      <w:proofErr w:type="gramEnd"/>
      <w:r w:rsidRPr="00B27766">
        <w:rPr>
          <w:rFonts w:ascii="Times New Roman" w:hAnsi="Times New Roman"/>
          <w:iCs/>
          <w:szCs w:val="24"/>
        </w:rPr>
        <w:t xml:space="preserve"> istituto la Fondazione si uniforma alle previsioni del “</w:t>
      </w:r>
      <w:r w:rsidR="00EB08BD" w:rsidRPr="00B27766">
        <w:rPr>
          <w:rFonts w:ascii="Times New Roman" w:hAnsi="Times New Roman"/>
          <w:szCs w:val="24"/>
        </w:rPr>
        <w:t>Regolamento di erogazione”, approvato dal Consiglio di Indirizzo nella seduta del 25 giugno 2001, e modificato dal Consiglio stesso   nelle sedute del 25 ottobre 2004, del 26 marzo 2013,  del 25 ottobre 2016  e del 30 ottobre 2017.</w:t>
      </w:r>
    </w:p>
    <w:p w:rsidR="00DE10CA" w:rsidRPr="00B27766" w:rsidRDefault="00DE10CA" w:rsidP="00DE10CA">
      <w:pPr>
        <w:rPr>
          <w:rFonts w:ascii="Times New Roman" w:hAnsi="Times New Roman"/>
        </w:rPr>
      </w:pPr>
    </w:p>
    <w:p w:rsidR="00675AD0" w:rsidRPr="00B27766" w:rsidRDefault="00675AD0" w:rsidP="00FF4653">
      <w:pPr>
        <w:pStyle w:val="Titolo6"/>
        <w:numPr>
          <w:ilvl w:val="12"/>
          <w:numId w:val="0"/>
        </w:numPr>
        <w:spacing w:line="240" w:lineRule="auto"/>
        <w:jc w:val="both"/>
        <w:rPr>
          <w:rFonts w:ascii="Times New Roman" w:hAnsi="Times New Roman" w:cs="Times New Roman"/>
          <w:iCs/>
          <w:szCs w:val="24"/>
        </w:rPr>
      </w:pPr>
      <w:r w:rsidRPr="00B27766">
        <w:rPr>
          <w:rFonts w:ascii="Times New Roman" w:hAnsi="Times New Roman" w:cs="Times New Roman"/>
          <w:iCs/>
          <w:szCs w:val="24"/>
        </w:rPr>
        <w:t>Procedure e criteri istruttori</w:t>
      </w:r>
    </w:p>
    <w:p w:rsidR="00FF4653" w:rsidRDefault="00FF4653"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B27766">
        <w:rPr>
          <w:rFonts w:ascii="Times New Roman" w:hAnsi="Times New Roman"/>
        </w:rPr>
        <w:t xml:space="preserve">La Fondazione può operare attraverso </w:t>
      </w:r>
      <w:r w:rsidR="00847157" w:rsidRPr="00B27766">
        <w:rPr>
          <w:rFonts w:ascii="Times New Roman" w:hAnsi="Times New Roman"/>
        </w:rPr>
        <w:t>“</w:t>
      </w:r>
      <w:r w:rsidR="00847157" w:rsidRPr="00B27766">
        <w:rPr>
          <w:rFonts w:ascii="Times New Roman" w:hAnsi="Times New Roman"/>
          <w:i/>
        </w:rPr>
        <w:t>progetti propri</w:t>
      </w:r>
      <w:r w:rsidR="00847157" w:rsidRPr="00B27766">
        <w:rPr>
          <w:rFonts w:ascii="Times New Roman" w:hAnsi="Times New Roman"/>
        </w:rPr>
        <w:t xml:space="preserve">” </w:t>
      </w:r>
      <w:proofErr w:type="gramStart"/>
      <w:r w:rsidR="00847157" w:rsidRPr="00B27766">
        <w:rPr>
          <w:rFonts w:ascii="Times New Roman" w:hAnsi="Times New Roman"/>
        </w:rPr>
        <w:t xml:space="preserve">o  </w:t>
      </w:r>
      <w:r w:rsidRPr="00B27766">
        <w:rPr>
          <w:rFonts w:ascii="Times New Roman" w:hAnsi="Times New Roman"/>
        </w:rPr>
        <w:t>“</w:t>
      </w:r>
      <w:proofErr w:type="gramEnd"/>
      <w:r w:rsidRPr="00B27766">
        <w:rPr>
          <w:rFonts w:ascii="Times New Roman" w:hAnsi="Times New Roman"/>
          <w:i/>
        </w:rPr>
        <w:t>progetti di terzi</w:t>
      </w:r>
      <w:r w:rsidRPr="00B27766">
        <w:rPr>
          <w:rFonts w:ascii="Times New Roman" w:hAnsi="Times New Roman"/>
        </w:rPr>
        <w:t xml:space="preserve"> ” </w:t>
      </w:r>
      <w:r w:rsidR="00D17BE2" w:rsidRPr="00B27766">
        <w:rPr>
          <w:rFonts w:ascii="Times New Roman" w:hAnsi="Times New Roman"/>
        </w:rPr>
        <w:t>.</w:t>
      </w:r>
    </w:p>
    <w:p w:rsidR="003F325B" w:rsidRPr="00B27766" w:rsidRDefault="003F325B"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p>
    <w:p w:rsidR="00DE223A" w:rsidRPr="00B27766"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B27766">
        <w:rPr>
          <w:rFonts w:ascii="Times New Roman" w:hAnsi="Times New Roman"/>
        </w:rPr>
        <w:t xml:space="preserve">I progetti propri sono </w:t>
      </w:r>
      <w:r w:rsidR="00A8198A" w:rsidRPr="00B27766">
        <w:rPr>
          <w:rFonts w:ascii="Times New Roman" w:hAnsi="Times New Roman"/>
        </w:rPr>
        <w:t xml:space="preserve">attività </w:t>
      </w:r>
      <w:r w:rsidRPr="00B27766">
        <w:rPr>
          <w:rFonts w:ascii="Times New Roman" w:hAnsi="Times New Roman"/>
        </w:rPr>
        <w:t xml:space="preserve">della cui attuazione la Fondazione </w:t>
      </w:r>
      <w:proofErr w:type="gramStart"/>
      <w:r w:rsidRPr="00B27766">
        <w:rPr>
          <w:rFonts w:ascii="Times New Roman" w:hAnsi="Times New Roman"/>
        </w:rPr>
        <w:t>è  direttamente</w:t>
      </w:r>
      <w:proofErr w:type="gramEnd"/>
      <w:r w:rsidRPr="00B27766">
        <w:rPr>
          <w:rFonts w:ascii="Times New Roman" w:hAnsi="Times New Roman"/>
        </w:rPr>
        <w:t xml:space="preserve">  responsabile, anche mediante l’esercizio diretto e\o indiretto della propria  impresa strumentale, coordinando le azioni degli altri soggetti eventualmente coinvolti e sostenendone direttamente i costi. </w:t>
      </w:r>
    </w:p>
    <w:p w:rsidR="00DE223A" w:rsidRPr="00B27766" w:rsidRDefault="00DE223A"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p>
    <w:p w:rsidR="00675AD0" w:rsidRPr="00B27766"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bCs/>
          <w:szCs w:val="24"/>
        </w:rPr>
      </w:pPr>
      <w:r w:rsidRPr="00B27766">
        <w:rPr>
          <w:rFonts w:ascii="Times New Roman" w:hAnsi="Times New Roman"/>
        </w:rPr>
        <w:t>I progetti di terzi sono interventi promossi e realizzati da soggetti terzi che ne sono titolari e responsabili sia dal punto di vista del contenuto che dal punto di vista amministrativo contabile.</w:t>
      </w:r>
      <w:r w:rsidR="003A0B5B" w:rsidRPr="00B27766">
        <w:rPr>
          <w:rFonts w:ascii="Times New Roman" w:hAnsi="Times New Roman"/>
        </w:rPr>
        <w:t xml:space="preserve"> In tal caso </w:t>
      </w:r>
      <w:r w:rsidR="003A0B5B" w:rsidRPr="00B27766">
        <w:rPr>
          <w:rFonts w:ascii="Times New Roman" w:hAnsi="Times New Roman"/>
          <w:bCs/>
          <w:szCs w:val="24"/>
        </w:rPr>
        <w:t xml:space="preserve">la </w:t>
      </w:r>
      <w:proofErr w:type="gramStart"/>
      <w:r w:rsidR="003A0B5B" w:rsidRPr="00B27766">
        <w:rPr>
          <w:rFonts w:ascii="Times New Roman" w:hAnsi="Times New Roman"/>
          <w:bCs/>
          <w:szCs w:val="24"/>
        </w:rPr>
        <w:t>Fondazione  opererà</w:t>
      </w:r>
      <w:proofErr w:type="gramEnd"/>
      <w:r w:rsidR="003A0B5B" w:rsidRPr="00B27766">
        <w:rPr>
          <w:rFonts w:ascii="Times New Roman" w:hAnsi="Times New Roman"/>
          <w:bCs/>
          <w:szCs w:val="24"/>
        </w:rPr>
        <w:t xml:space="preserve"> </w:t>
      </w:r>
      <w:r w:rsidR="00675AD0" w:rsidRPr="00B27766">
        <w:rPr>
          <w:rFonts w:ascii="Times New Roman" w:hAnsi="Times New Roman"/>
          <w:bCs/>
          <w:szCs w:val="24"/>
        </w:rPr>
        <w:t xml:space="preserve"> come soggetto erogatore  nei confronti di associazioni, organizzazioni e operatori  in possesso di adeguate competenze e riconoscimenti   in grado di gestire validi progetti e</w:t>
      </w:r>
      <w:r w:rsidR="003A0B5B" w:rsidRPr="00B27766">
        <w:rPr>
          <w:rFonts w:ascii="Times New Roman" w:hAnsi="Times New Roman"/>
          <w:bCs/>
          <w:szCs w:val="24"/>
        </w:rPr>
        <w:t xml:space="preserve">d iniziative di utilità sociale. Tenuto </w:t>
      </w:r>
      <w:proofErr w:type="gramStart"/>
      <w:r w:rsidR="003A0B5B" w:rsidRPr="00B27766">
        <w:rPr>
          <w:rFonts w:ascii="Times New Roman" w:hAnsi="Times New Roman"/>
          <w:bCs/>
          <w:szCs w:val="24"/>
        </w:rPr>
        <w:t>conto  del</w:t>
      </w:r>
      <w:r w:rsidR="003A0B5B" w:rsidRPr="00B27766">
        <w:rPr>
          <w:rFonts w:ascii="Times New Roman" w:hAnsi="Times New Roman"/>
          <w:szCs w:val="24"/>
        </w:rPr>
        <w:t>la</w:t>
      </w:r>
      <w:proofErr w:type="gramEnd"/>
      <w:r w:rsidR="003A0B5B" w:rsidRPr="00B27766">
        <w:rPr>
          <w:rFonts w:ascii="Times New Roman" w:hAnsi="Times New Roman"/>
          <w:szCs w:val="24"/>
        </w:rPr>
        <w:t xml:space="preserve"> limitatezza  dei mezzi rispetto alle dimensioni  dei bisogni</w:t>
      </w:r>
      <w:r w:rsidR="003A0B5B" w:rsidRPr="00B27766">
        <w:rPr>
          <w:rFonts w:ascii="Times New Roman" w:hAnsi="Times New Roman"/>
          <w:bCs/>
          <w:szCs w:val="24"/>
        </w:rPr>
        <w:t xml:space="preserve"> verranno  </w:t>
      </w:r>
      <w:r w:rsidR="00675AD0" w:rsidRPr="00B27766">
        <w:rPr>
          <w:rFonts w:ascii="Times New Roman" w:hAnsi="Times New Roman"/>
          <w:szCs w:val="24"/>
        </w:rPr>
        <w:t xml:space="preserve">privilegiati interventi </w:t>
      </w:r>
      <w:r w:rsidR="003F325B">
        <w:rPr>
          <w:rFonts w:ascii="Times New Roman" w:hAnsi="Times New Roman"/>
          <w:szCs w:val="24"/>
        </w:rPr>
        <w:t>e</w:t>
      </w:r>
      <w:r w:rsidR="00675AD0" w:rsidRPr="00B27766">
        <w:rPr>
          <w:rFonts w:ascii="Times New Roman" w:hAnsi="Times New Roman"/>
          <w:szCs w:val="24"/>
        </w:rPr>
        <w:t xml:space="preserve"> progetti </w:t>
      </w:r>
      <w:r w:rsidR="003A0B5B" w:rsidRPr="00B27766">
        <w:rPr>
          <w:rFonts w:ascii="Times New Roman" w:hAnsi="Times New Roman"/>
          <w:szCs w:val="24"/>
        </w:rPr>
        <w:t xml:space="preserve"> </w:t>
      </w:r>
      <w:r w:rsidR="00675AD0" w:rsidRPr="00B27766">
        <w:rPr>
          <w:rFonts w:ascii="Times New Roman" w:hAnsi="Times New Roman"/>
          <w:szCs w:val="24"/>
        </w:rPr>
        <w:t xml:space="preserve"> che presentano maggiore utilità per il </w:t>
      </w:r>
      <w:r w:rsidR="003F325B">
        <w:rPr>
          <w:rFonts w:ascii="Times New Roman" w:hAnsi="Times New Roman"/>
          <w:szCs w:val="24"/>
        </w:rPr>
        <w:t>T</w:t>
      </w:r>
      <w:r w:rsidR="00675AD0" w:rsidRPr="00B27766">
        <w:rPr>
          <w:rFonts w:ascii="Times New Roman" w:hAnsi="Times New Roman"/>
          <w:szCs w:val="24"/>
        </w:rPr>
        <w:t>erritorio, nel rispetto del criterio di oggettività e di trasparenza  sia nella fase di scelta delle iniziative da finanziare sia nella fase di successivo controllo della attività realizzata.</w:t>
      </w:r>
    </w:p>
    <w:p w:rsidR="0025250C" w:rsidRPr="00B27766" w:rsidRDefault="0025250C" w:rsidP="00675AD0">
      <w:pPr>
        <w:rPr>
          <w:rFonts w:ascii="Times New Roman" w:hAnsi="Times New Roman"/>
          <w:color w:val="000000"/>
          <w:szCs w:val="24"/>
        </w:rPr>
      </w:pPr>
    </w:p>
    <w:p w:rsidR="005929F0" w:rsidRPr="00B27766" w:rsidRDefault="005929F0" w:rsidP="005929F0">
      <w:pPr>
        <w:pStyle w:val="Delibera"/>
        <w:spacing w:line="240" w:lineRule="auto"/>
        <w:rPr>
          <w:szCs w:val="24"/>
        </w:rPr>
      </w:pPr>
      <w:r w:rsidRPr="00B27766">
        <w:rPr>
          <w:szCs w:val="24"/>
        </w:rPr>
        <w:t>Per quanto concerne in generale le modalità di individuazione dei soggetti beneficiari</w:t>
      </w:r>
      <w:r w:rsidR="00B27766">
        <w:rPr>
          <w:szCs w:val="24"/>
        </w:rPr>
        <w:t xml:space="preserve"> dei vari interventi, si </w:t>
      </w:r>
      <w:proofErr w:type="gramStart"/>
      <w:r w:rsidR="00B27766">
        <w:rPr>
          <w:szCs w:val="24"/>
        </w:rPr>
        <w:t xml:space="preserve">conferma </w:t>
      </w:r>
      <w:r w:rsidRPr="00B27766">
        <w:rPr>
          <w:szCs w:val="24"/>
        </w:rPr>
        <w:t xml:space="preserve"> l’adozione</w:t>
      </w:r>
      <w:proofErr w:type="gramEnd"/>
      <w:r w:rsidR="00B27766">
        <w:rPr>
          <w:szCs w:val="24"/>
        </w:rPr>
        <w:t>, come per l’esercizio 20</w:t>
      </w:r>
      <w:r w:rsidR="003F325B">
        <w:rPr>
          <w:szCs w:val="24"/>
        </w:rPr>
        <w:t>20</w:t>
      </w:r>
      <w:r w:rsidR="00B27766">
        <w:rPr>
          <w:szCs w:val="24"/>
        </w:rPr>
        <w:t xml:space="preserve">, </w:t>
      </w:r>
      <w:r w:rsidRPr="00B27766">
        <w:rPr>
          <w:szCs w:val="24"/>
        </w:rPr>
        <w:t xml:space="preserve">  dei bandi di concorso al fine di ottemperare ad  esigenze sia di ruolo attivo  che di  trasparenza. </w:t>
      </w:r>
    </w:p>
    <w:p w:rsidR="005929F0" w:rsidRPr="00B27766" w:rsidRDefault="005929F0" w:rsidP="005929F0">
      <w:pPr>
        <w:pStyle w:val="Delibera"/>
        <w:spacing w:line="240" w:lineRule="auto"/>
        <w:rPr>
          <w:szCs w:val="24"/>
        </w:rPr>
      </w:pPr>
    </w:p>
    <w:p w:rsidR="005929F0" w:rsidRPr="00B27766" w:rsidRDefault="005929F0" w:rsidP="005929F0">
      <w:pPr>
        <w:pStyle w:val="Nessunaspaziatura"/>
        <w:rPr>
          <w:rFonts w:ascii="Times New Roman" w:hAnsi="Times New Roman"/>
          <w:szCs w:val="24"/>
        </w:rPr>
      </w:pPr>
      <w:proofErr w:type="gramStart"/>
      <w:r w:rsidRPr="00B27766">
        <w:rPr>
          <w:rFonts w:ascii="Times New Roman" w:hAnsi="Times New Roman"/>
          <w:szCs w:val="24"/>
        </w:rPr>
        <w:t>Tale  modalità</w:t>
      </w:r>
      <w:proofErr w:type="gramEnd"/>
      <w:r w:rsidRPr="00B27766">
        <w:rPr>
          <w:rFonts w:ascii="Times New Roman" w:hAnsi="Times New Roman"/>
          <w:szCs w:val="24"/>
        </w:rPr>
        <w:t xml:space="preserve">  consente di   formulare con ancora maggiore chiarezza gli obiettivi e  i criteri di selezione dei progetti </w:t>
      </w:r>
      <w:r w:rsidR="00EE3227">
        <w:rPr>
          <w:rFonts w:ascii="Times New Roman" w:hAnsi="Times New Roman"/>
          <w:iCs/>
          <w:szCs w:val="24"/>
        </w:rPr>
        <w:t xml:space="preserve">  oltreché consentire poi una loro </w:t>
      </w:r>
      <w:r w:rsidRPr="00B27766">
        <w:rPr>
          <w:rFonts w:ascii="Times New Roman" w:hAnsi="Times New Roman"/>
          <w:szCs w:val="24"/>
        </w:rPr>
        <w:t xml:space="preserve"> </w:t>
      </w:r>
      <w:r w:rsidR="00EE3227">
        <w:rPr>
          <w:rFonts w:ascii="Times New Roman" w:hAnsi="Times New Roman"/>
          <w:szCs w:val="24"/>
        </w:rPr>
        <w:t xml:space="preserve">adeguata </w:t>
      </w:r>
      <w:r w:rsidRPr="00B27766">
        <w:rPr>
          <w:rFonts w:ascii="Times New Roman" w:hAnsi="Times New Roman"/>
          <w:szCs w:val="24"/>
        </w:rPr>
        <w:t>valutazione ex-post sull’esito dei contributi assegnati.</w:t>
      </w:r>
    </w:p>
    <w:p w:rsidR="00B75522" w:rsidRPr="00B27766" w:rsidRDefault="00B75522" w:rsidP="00B75522">
      <w:pPr>
        <w:pStyle w:val="Nessunaspaziatura"/>
        <w:rPr>
          <w:rFonts w:ascii="Times New Roman" w:hAnsi="Times New Roman"/>
          <w:bCs/>
          <w:i/>
          <w:iCs/>
        </w:rPr>
      </w:pPr>
    </w:p>
    <w:p w:rsidR="00DE223A" w:rsidRPr="00B27766" w:rsidRDefault="00DE223A" w:rsidP="00DE223A">
      <w:pPr>
        <w:rPr>
          <w:rFonts w:ascii="Times New Roman" w:hAnsi="Times New Roman"/>
          <w:bCs/>
          <w:iCs/>
        </w:rPr>
      </w:pPr>
      <w:r w:rsidRPr="00B27766">
        <w:rPr>
          <w:rFonts w:ascii="Times New Roman" w:hAnsi="Times New Roman"/>
          <w:bCs/>
          <w:iCs/>
        </w:rPr>
        <w:t>Verrà comunque riservata la possibilità di richieste extra-</w:t>
      </w:r>
      <w:proofErr w:type="gramStart"/>
      <w:r w:rsidRPr="00B27766">
        <w:rPr>
          <w:rFonts w:ascii="Times New Roman" w:hAnsi="Times New Roman"/>
          <w:bCs/>
          <w:iCs/>
        </w:rPr>
        <w:t>bando  per</w:t>
      </w:r>
      <w:proofErr w:type="gramEnd"/>
      <w:r w:rsidRPr="00B27766">
        <w:rPr>
          <w:rFonts w:ascii="Times New Roman" w:hAnsi="Times New Roman"/>
          <w:bCs/>
          <w:iCs/>
        </w:rPr>
        <w:t xml:space="preserve"> iniziative che appaiono rivolgersi ad interventi di minore ampiezza e di maggiore definizione rispetto a situazioni collegate a specifiche caratteristiche di localizzazione nel rispetto comunque di criteri di ampia </w:t>
      </w:r>
      <w:r w:rsidRPr="00B27766">
        <w:rPr>
          <w:rFonts w:ascii="Times New Roman" w:hAnsi="Times New Roman"/>
          <w:bCs/>
          <w:iCs/>
        </w:rPr>
        <w:lastRenderedPageBreak/>
        <w:t>trasparenza e su</w:t>
      </w:r>
      <w:r w:rsidR="005B74FD" w:rsidRPr="00B27766">
        <w:rPr>
          <w:rFonts w:ascii="Times New Roman" w:hAnsi="Times New Roman"/>
          <w:bCs/>
          <w:iCs/>
        </w:rPr>
        <w:t>lla base di motivazioni connesse</w:t>
      </w:r>
      <w:r w:rsidRPr="00B27766">
        <w:rPr>
          <w:rFonts w:ascii="Times New Roman" w:hAnsi="Times New Roman"/>
          <w:bCs/>
          <w:iCs/>
        </w:rPr>
        <w:t xml:space="preserve"> a necessaria tempestività ed adeguatezza dell’azione proposta.</w:t>
      </w:r>
    </w:p>
    <w:p w:rsidR="00711D33" w:rsidRDefault="00711D33" w:rsidP="00EF3B83">
      <w:pPr>
        <w:pStyle w:val="Nessunaspaziatura"/>
        <w:rPr>
          <w:rFonts w:asciiTheme="minorHAnsi" w:hAnsiTheme="minorHAnsi"/>
        </w:rPr>
      </w:pPr>
    </w:p>
    <w:p w:rsidR="00735CEB" w:rsidRPr="000E412C" w:rsidRDefault="00735CEB" w:rsidP="00EF3B83">
      <w:pPr>
        <w:pStyle w:val="Nessunaspaziatura"/>
        <w:rPr>
          <w:rFonts w:asciiTheme="minorHAnsi" w:hAnsiTheme="minorHAnsi"/>
        </w:rPr>
      </w:pPr>
    </w:p>
    <w:p w:rsidR="00985B23" w:rsidRPr="00B27766" w:rsidRDefault="00675AD0" w:rsidP="00675AD0">
      <w:pPr>
        <w:numPr>
          <w:ilvl w:val="12"/>
          <w:numId w:val="0"/>
        </w:numPr>
        <w:rPr>
          <w:rFonts w:ascii="Times New Roman" w:hAnsi="Times New Roman"/>
          <w:b/>
          <w:iCs/>
          <w:szCs w:val="24"/>
        </w:rPr>
      </w:pPr>
      <w:r w:rsidRPr="00B27766">
        <w:rPr>
          <w:rFonts w:ascii="Times New Roman" w:hAnsi="Times New Roman"/>
          <w:b/>
          <w:iCs/>
          <w:szCs w:val="24"/>
        </w:rPr>
        <w:t>Scelte di linee operative negli interventi</w:t>
      </w:r>
    </w:p>
    <w:p w:rsidR="00675AD0" w:rsidRPr="00B27766" w:rsidRDefault="008324B4" w:rsidP="00675AD0">
      <w:pPr>
        <w:rPr>
          <w:rFonts w:ascii="Times New Roman" w:hAnsi="Times New Roman"/>
          <w:szCs w:val="24"/>
        </w:rPr>
      </w:pPr>
      <w:r w:rsidRPr="00B27766">
        <w:rPr>
          <w:rFonts w:ascii="Times New Roman" w:hAnsi="Times New Roman"/>
          <w:szCs w:val="24"/>
        </w:rPr>
        <w:t>Per la definizione delle</w:t>
      </w:r>
      <w:r w:rsidR="00675AD0" w:rsidRPr="00B27766">
        <w:rPr>
          <w:rFonts w:ascii="Times New Roman" w:hAnsi="Times New Roman"/>
          <w:szCs w:val="24"/>
        </w:rPr>
        <w:t xml:space="preserve"> linee d</w:t>
      </w:r>
      <w:r w:rsidR="00A8198A" w:rsidRPr="00B27766">
        <w:rPr>
          <w:rFonts w:ascii="Times New Roman" w:hAnsi="Times New Roman"/>
          <w:szCs w:val="24"/>
        </w:rPr>
        <w:t>’</w:t>
      </w:r>
      <w:r w:rsidRPr="00B27766">
        <w:rPr>
          <w:rFonts w:ascii="Times New Roman" w:hAnsi="Times New Roman"/>
          <w:szCs w:val="24"/>
        </w:rPr>
        <w:t xml:space="preserve">intervento si è tenuto conto </w:t>
      </w:r>
      <w:proofErr w:type="gramStart"/>
      <w:r w:rsidRPr="00B27766">
        <w:rPr>
          <w:rFonts w:ascii="Times New Roman" w:hAnsi="Times New Roman"/>
          <w:szCs w:val="24"/>
        </w:rPr>
        <w:t xml:space="preserve">delle </w:t>
      </w:r>
      <w:r w:rsidR="00675AD0" w:rsidRPr="00B27766">
        <w:rPr>
          <w:rFonts w:ascii="Times New Roman" w:hAnsi="Times New Roman"/>
          <w:szCs w:val="24"/>
        </w:rPr>
        <w:t xml:space="preserve"> istanze</w:t>
      </w:r>
      <w:proofErr w:type="gramEnd"/>
      <w:r w:rsidR="00675AD0" w:rsidRPr="00B27766">
        <w:rPr>
          <w:rFonts w:ascii="Times New Roman" w:hAnsi="Times New Roman"/>
          <w:szCs w:val="24"/>
        </w:rPr>
        <w:t xml:space="preserve">  pervenute a</w:t>
      </w:r>
      <w:r w:rsidRPr="00B27766">
        <w:rPr>
          <w:rFonts w:ascii="Times New Roman" w:hAnsi="Times New Roman"/>
          <w:szCs w:val="24"/>
        </w:rPr>
        <w:t>lla Fondazione,  del</w:t>
      </w:r>
      <w:r w:rsidR="00675AD0" w:rsidRPr="00B27766">
        <w:rPr>
          <w:rFonts w:ascii="Times New Roman" w:hAnsi="Times New Roman"/>
          <w:szCs w:val="24"/>
        </w:rPr>
        <w:t xml:space="preserve"> contesto economico e</w:t>
      </w:r>
      <w:r w:rsidRPr="00B27766">
        <w:rPr>
          <w:rFonts w:ascii="Times New Roman" w:hAnsi="Times New Roman"/>
          <w:szCs w:val="24"/>
        </w:rPr>
        <w:t xml:space="preserve"> sociale di riferimento anche attraverso il continuo e proficuo </w:t>
      </w:r>
      <w:r w:rsidR="00675AD0" w:rsidRPr="00B27766">
        <w:rPr>
          <w:rFonts w:ascii="Times New Roman" w:hAnsi="Times New Roman"/>
          <w:szCs w:val="24"/>
        </w:rPr>
        <w:t>dialogo con le istituzioni sociali e civili di riferimento.</w:t>
      </w:r>
    </w:p>
    <w:p w:rsidR="00675AD0" w:rsidRPr="00B27766" w:rsidRDefault="00675AD0" w:rsidP="00675AD0">
      <w:pPr>
        <w:numPr>
          <w:ilvl w:val="12"/>
          <w:numId w:val="0"/>
        </w:numPr>
        <w:rPr>
          <w:rFonts w:ascii="Times New Roman" w:hAnsi="Times New Roman"/>
          <w:iCs/>
          <w:szCs w:val="24"/>
          <w:u w:val="single"/>
        </w:rPr>
      </w:pPr>
    </w:p>
    <w:p w:rsidR="00675AD0" w:rsidRPr="00B27766" w:rsidRDefault="00B27766" w:rsidP="00675AD0">
      <w:pPr>
        <w:rPr>
          <w:rFonts w:ascii="Times New Roman" w:hAnsi="Times New Roman"/>
          <w:szCs w:val="24"/>
        </w:rPr>
      </w:pPr>
      <w:r w:rsidRPr="00B27766">
        <w:rPr>
          <w:rFonts w:ascii="Times New Roman" w:hAnsi="Times New Roman"/>
          <w:szCs w:val="24"/>
        </w:rPr>
        <w:t xml:space="preserve">Per l’anno </w:t>
      </w:r>
      <w:proofErr w:type="gramStart"/>
      <w:r w:rsidRPr="00B27766">
        <w:rPr>
          <w:rFonts w:ascii="Times New Roman" w:hAnsi="Times New Roman"/>
          <w:szCs w:val="24"/>
        </w:rPr>
        <w:t>202</w:t>
      </w:r>
      <w:r w:rsidR="009647D1">
        <w:rPr>
          <w:rFonts w:ascii="Times New Roman" w:hAnsi="Times New Roman"/>
          <w:szCs w:val="24"/>
        </w:rPr>
        <w:t>1</w:t>
      </w:r>
      <w:r w:rsidR="00675AD0" w:rsidRPr="00B27766">
        <w:rPr>
          <w:rFonts w:ascii="Times New Roman" w:hAnsi="Times New Roman"/>
          <w:szCs w:val="24"/>
        </w:rPr>
        <w:t>,  tenuto</w:t>
      </w:r>
      <w:proofErr w:type="gramEnd"/>
      <w:r w:rsidR="00675AD0" w:rsidRPr="00B27766">
        <w:rPr>
          <w:rFonts w:ascii="Times New Roman" w:hAnsi="Times New Roman"/>
          <w:szCs w:val="24"/>
        </w:rPr>
        <w:t xml:space="preserve"> conto di quanto prelimina</w:t>
      </w:r>
      <w:r w:rsidR="008324B4" w:rsidRPr="00B27766">
        <w:rPr>
          <w:rFonts w:ascii="Times New Roman" w:hAnsi="Times New Roman"/>
          <w:szCs w:val="24"/>
        </w:rPr>
        <w:t>rmente identificato nel P</w:t>
      </w:r>
      <w:r w:rsidR="00065527" w:rsidRPr="00B27766">
        <w:rPr>
          <w:rFonts w:ascii="Times New Roman" w:hAnsi="Times New Roman"/>
          <w:szCs w:val="24"/>
        </w:rPr>
        <w:t xml:space="preserve">iano di </w:t>
      </w:r>
      <w:r w:rsidR="008324B4" w:rsidRPr="00B27766">
        <w:rPr>
          <w:rFonts w:ascii="Times New Roman" w:hAnsi="Times New Roman"/>
          <w:szCs w:val="24"/>
        </w:rPr>
        <w:t>P</w:t>
      </w:r>
      <w:r w:rsidR="00065527" w:rsidRPr="00B27766">
        <w:rPr>
          <w:rFonts w:ascii="Times New Roman" w:hAnsi="Times New Roman"/>
          <w:szCs w:val="24"/>
        </w:rPr>
        <w:t xml:space="preserve">rogrammazione </w:t>
      </w:r>
      <w:r w:rsidR="008324B4" w:rsidRPr="00B27766">
        <w:rPr>
          <w:rFonts w:ascii="Times New Roman" w:hAnsi="Times New Roman"/>
          <w:szCs w:val="24"/>
        </w:rPr>
        <w:t>P</w:t>
      </w:r>
      <w:r w:rsidR="00065527" w:rsidRPr="00B27766">
        <w:rPr>
          <w:rFonts w:ascii="Times New Roman" w:hAnsi="Times New Roman"/>
          <w:szCs w:val="24"/>
        </w:rPr>
        <w:t>luriennale</w:t>
      </w:r>
      <w:r w:rsidR="00CE5883" w:rsidRPr="00B27766">
        <w:rPr>
          <w:rFonts w:ascii="Times New Roman" w:hAnsi="Times New Roman"/>
          <w:szCs w:val="24"/>
        </w:rPr>
        <w:t xml:space="preserve"> 2019</w:t>
      </w:r>
      <w:r w:rsidR="001B1C75">
        <w:rPr>
          <w:rFonts w:ascii="Times New Roman" w:hAnsi="Times New Roman"/>
          <w:szCs w:val="24"/>
        </w:rPr>
        <w:t>-</w:t>
      </w:r>
      <w:r w:rsidR="00CE5883" w:rsidRPr="00B27766">
        <w:rPr>
          <w:rFonts w:ascii="Times New Roman" w:hAnsi="Times New Roman"/>
          <w:szCs w:val="24"/>
        </w:rPr>
        <w:t>2021</w:t>
      </w:r>
      <w:r w:rsidR="00BE7EB5" w:rsidRPr="00B27766">
        <w:rPr>
          <w:rFonts w:ascii="Times New Roman" w:hAnsi="Times New Roman"/>
          <w:szCs w:val="24"/>
        </w:rPr>
        <w:t xml:space="preserve">, </w:t>
      </w:r>
      <w:r w:rsidR="00675AD0" w:rsidRPr="00B27766">
        <w:rPr>
          <w:rFonts w:ascii="Times New Roman" w:hAnsi="Times New Roman"/>
          <w:szCs w:val="24"/>
        </w:rPr>
        <w:t xml:space="preserve">si </w:t>
      </w:r>
      <w:r w:rsidR="003A0B5B" w:rsidRPr="00B27766">
        <w:rPr>
          <w:rFonts w:ascii="Times New Roman" w:hAnsi="Times New Roman"/>
          <w:szCs w:val="24"/>
        </w:rPr>
        <w:t>proseguirà nell’operare</w:t>
      </w:r>
      <w:r w:rsidR="00675AD0" w:rsidRPr="00B27766">
        <w:rPr>
          <w:rFonts w:ascii="Times New Roman" w:hAnsi="Times New Roman"/>
          <w:szCs w:val="24"/>
        </w:rPr>
        <w:t xml:space="preserve">  avendo conto della  esigenza di :</w:t>
      </w:r>
    </w:p>
    <w:p w:rsidR="00675AD0" w:rsidRPr="00B27766" w:rsidRDefault="00675AD0" w:rsidP="006C45D9">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salvaguardare e valorizzare il patrimonio culturale, materiale e immateriale, in quanto risorsa fondamentale per ogni percorso di sviluppo;</w:t>
      </w:r>
    </w:p>
    <w:p w:rsidR="00F77341" w:rsidRPr="00B27766" w:rsidRDefault="00F77341" w:rsidP="006C45D9">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proseguire con il criterio di adottare nell’anno un bene significativo su cui far convergere investimenti rilevanti;</w:t>
      </w:r>
    </w:p>
    <w:p w:rsidR="00675AD0" w:rsidRPr="00B27766" w:rsidRDefault="00675AD0" w:rsidP="006C45D9">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coniugare agli aspetti di valorizzazione dei beni culturali</w:t>
      </w:r>
      <w:r w:rsidR="005B74FD" w:rsidRPr="00B27766">
        <w:rPr>
          <w:rFonts w:ascii="Times New Roman" w:hAnsi="Times New Roman"/>
          <w:sz w:val="24"/>
          <w:szCs w:val="24"/>
        </w:rPr>
        <w:t>,</w:t>
      </w:r>
      <w:r w:rsidRPr="00B27766">
        <w:rPr>
          <w:rFonts w:ascii="Times New Roman" w:hAnsi="Times New Roman"/>
          <w:sz w:val="24"/>
          <w:szCs w:val="24"/>
        </w:rPr>
        <w:t xml:space="preserve"> elementi di progettualità e di innovazione capaci </w:t>
      </w:r>
      <w:proofErr w:type="gramStart"/>
      <w:r w:rsidRPr="00B27766">
        <w:rPr>
          <w:rFonts w:ascii="Times New Roman" w:hAnsi="Times New Roman"/>
          <w:sz w:val="24"/>
          <w:szCs w:val="24"/>
        </w:rPr>
        <w:t>di  andare</w:t>
      </w:r>
      <w:proofErr w:type="gramEnd"/>
      <w:r w:rsidRPr="00B27766">
        <w:rPr>
          <w:rFonts w:ascii="Times New Roman" w:hAnsi="Times New Roman"/>
          <w:sz w:val="24"/>
          <w:szCs w:val="24"/>
        </w:rPr>
        <w:t xml:space="preserve"> oltre la fruizione passiva del bene, in modo da trarne orientamento e stimolo per un percorso attivo e partecipato da tutti i soggetti coinvolti, singoli e collettivi;</w:t>
      </w:r>
    </w:p>
    <w:p w:rsidR="00675AD0" w:rsidRPr="00B27766" w:rsidRDefault="00675AD0" w:rsidP="00D17BE2">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promuovere quanto può contribuire a far crescere nei comportamenti dei soggetti logiche di rigorosa professionalità, di rispetto delle regole, di coerenza con gli obiettivi fissati, di esercizio di capacità relazionali;</w:t>
      </w:r>
    </w:p>
    <w:p w:rsidR="00675AD0" w:rsidRPr="00B27766" w:rsidRDefault="00675AD0" w:rsidP="00D17BE2">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creare l’abitudine a muoversi secondo logiche di rete e non in ordine sparso e frammentario;</w:t>
      </w:r>
    </w:p>
    <w:p w:rsidR="00675AD0" w:rsidRPr="00B27766" w:rsidRDefault="00675AD0" w:rsidP="00D17BE2">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675AD0" w:rsidRPr="00B27766" w:rsidRDefault="00675AD0" w:rsidP="00D17BE2">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dare attenzione al mondo giovanile contrastando i rischi connessi alle</w:t>
      </w:r>
      <w:r w:rsidR="00D41AF1" w:rsidRPr="00B27766">
        <w:rPr>
          <w:rFonts w:ascii="Times New Roman" w:hAnsi="Times New Roman"/>
          <w:sz w:val="24"/>
          <w:szCs w:val="24"/>
        </w:rPr>
        <w:t xml:space="preserve"> molteplici forme di dipendenza</w:t>
      </w:r>
      <w:r w:rsidR="00D17BE2" w:rsidRPr="00B27766">
        <w:rPr>
          <w:rFonts w:ascii="Times New Roman" w:hAnsi="Times New Roman"/>
          <w:sz w:val="24"/>
          <w:szCs w:val="24"/>
        </w:rPr>
        <w:t>;</w:t>
      </w:r>
    </w:p>
    <w:p w:rsidR="00675AD0" w:rsidRPr="00B27766" w:rsidRDefault="00675AD0" w:rsidP="00D41AF1">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intervenire per ridurre le fragilità e le debolezze presenti nel tessuto sociale e amplificate dalla profonda crisi in atto, che non è solo economica e finanziaria, ma corrisponde a una più ampia trasformazione del nostro modello complessivo di sviluppo;</w:t>
      </w:r>
    </w:p>
    <w:p w:rsidR="00675AD0" w:rsidRPr="00B27766" w:rsidRDefault="005A56CB" w:rsidP="00D952AD">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prevenire la formazione di zone di diseguaglianza ed esclusione sociale con particolare riferimento alla partecipazione alle attività formative</w:t>
      </w:r>
      <w:r w:rsidR="00A8198A" w:rsidRPr="00B27766">
        <w:rPr>
          <w:rFonts w:ascii="Times New Roman" w:hAnsi="Times New Roman"/>
          <w:sz w:val="24"/>
          <w:szCs w:val="24"/>
        </w:rPr>
        <w:t xml:space="preserve">: </w:t>
      </w:r>
      <w:r w:rsidR="00675AD0" w:rsidRPr="00B27766">
        <w:rPr>
          <w:rFonts w:ascii="Times New Roman" w:hAnsi="Times New Roman"/>
          <w:sz w:val="24"/>
          <w:szCs w:val="24"/>
        </w:rPr>
        <w:t>in tale contesto favorire la diffusione di un welfare di comunità fortemente centrato sul volontariato e sull’imprenditorialità sociale, interpretato secondo principi di corresponsabilità e di partecipazione;</w:t>
      </w:r>
    </w:p>
    <w:p w:rsidR="00675AD0" w:rsidRPr="00B27766" w:rsidRDefault="00675AD0" w:rsidP="00D952AD">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sz w:val="24"/>
          <w:szCs w:val="24"/>
        </w:rPr>
        <w:t xml:space="preserve">evitare dispersione di risorse </w:t>
      </w:r>
      <w:r w:rsidRPr="00B27766">
        <w:rPr>
          <w:rFonts w:ascii="Times New Roman" w:hAnsi="Times New Roman"/>
          <w:iCs/>
          <w:sz w:val="24"/>
          <w:szCs w:val="24"/>
        </w:rPr>
        <w:t xml:space="preserve">che </w:t>
      </w:r>
      <w:proofErr w:type="gramStart"/>
      <w:r w:rsidRPr="00B27766">
        <w:rPr>
          <w:rFonts w:ascii="Times New Roman" w:hAnsi="Times New Roman"/>
          <w:iCs/>
          <w:sz w:val="24"/>
          <w:szCs w:val="24"/>
        </w:rPr>
        <w:t>risultano  limitate</w:t>
      </w:r>
      <w:proofErr w:type="gramEnd"/>
      <w:r w:rsidRPr="00B27766">
        <w:rPr>
          <w:rFonts w:ascii="Times New Roman" w:hAnsi="Times New Roman"/>
          <w:iCs/>
          <w:sz w:val="24"/>
          <w:szCs w:val="24"/>
        </w:rPr>
        <w:t xml:space="preserve">  rispetto alle domande ed ai bisogni del Territorio;</w:t>
      </w:r>
    </w:p>
    <w:p w:rsidR="00675AD0" w:rsidRPr="00B27766" w:rsidRDefault="00675AD0" w:rsidP="00D952AD">
      <w:pPr>
        <w:pStyle w:val="Paragrafoelenco"/>
        <w:numPr>
          <w:ilvl w:val="0"/>
          <w:numId w:val="4"/>
        </w:numPr>
        <w:spacing w:after="0" w:line="240" w:lineRule="auto"/>
        <w:ind w:left="284" w:hanging="284"/>
        <w:jc w:val="both"/>
        <w:rPr>
          <w:rFonts w:ascii="Times New Roman" w:hAnsi="Times New Roman"/>
          <w:sz w:val="24"/>
          <w:szCs w:val="24"/>
        </w:rPr>
      </w:pPr>
      <w:r w:rsidRPr="00B27766">
        <w:rPr>
          <w:rFonts w:ascii="Times New Roman" w:hAnsi="Times New Roman"/>
          <w:iCs/>
          <w:sz w:val="24"/>
          <w:szCs w:val="24"/>
        </w:rPr>
        <w:t>rendere pubbliche le priorità adottate, allo scopo di assicurare trasparenza e imparzialità al processo di selezione delle richieste di contributo</w:t>
      </w:r>
      <w:r w:rsidRPr="00B27766">
        <w:rPr>
          <w:rFonts w:ascii="Times New Roman" w:hAnsi="Times New Roman"/>
          <w:sz w:val="24"/>
          <w:szCs w:val="24"/>
        </w:rPr>
        <w:t>.</w:t>
      </w:r>
    </w:p>
    <w:p w:rsidR="00C47DBA" w:rsidRPr="00B27766" w:rsidRDefault="00C47DBA" w:rsidP="00D952AD">
      <w:pPr>
        <w:ind w:left="284" w:hanging="284"/>
        <w:rPr>
          <w:rFonts w:ascii="Times New Roman" w:hAnsi="Times New Roman"/>
          <w:iCs/>
          <w:szCs w:val="24"/>
        </w:rPr>
      </w:pPr>
    </w:p>
    <w:p w:rsidR="00D952AD" w:rsidRPr="00B27766" w:rsidRDefault="00D952AD" w:rsidP="00D44C03">
      <w:pPr>
        <w:jc w:val="left"/>
        <w:rPr>
          <w:rFonts w:ascii="Times New Roman" w:hAnsi="Times New Roman"/>
          <w:b/>
          <w:iCs/>
          <w:szCs w:val="24"/>
          <w:u w:val="single"/>
        </w:rPr>
      </w:pPr>
    </w:p>
    <w:p w:rsidR="00F2532D" w:rsidRPr="00D704BA" w:rsidRDefault="00675AD0" w:rsidP="00D704BA">
      <w:pPr>
        <w:jc w:val="left"/>
        <w:rPr>
          <w:rFonts w:ascii="Times New Roman" w:hAnsi="Times New Roman"/>
          <w:b/>
          <w:iCs/>
          <w:szCs w:val="24"/>
          <w:u w:val="single"/>
        </w:rPr>
      </w:pPr>
      <w:r w:rsidRPr="00B27766">
        <w:rPr>
          <w:rFonts w:ascii="Times New Roman" w:hAnsi="Times New Roman"/>
          <w:b/>
          <w:iCs/>
          <w:szCs w:val="24"/>
          <w:u w:val="single"/>
        </w:rPr>
        <w:t xml:space="preserve">Attività </w:t>
      </w:r>
    </w:p>
    <w:p w:rsidR="009647D1" w:rsidRPr="00D704BA" w:rsidRDefault="009647D1" w:rsidP="0081183A">
      <w:pPr>
        <w:rPr>
          <w:rFonts w:ascii="Times New Roman" w:hAnsi="Times New Roman"/>
          <w:b/>
          <w:iCs/>
          <w:szCs w:val="24"/>
        </w:rPr>
      </w:pPr>
    </w:p>
    <w:p w:rsidR="00D76D3D" w:rsidRPr="00D704BA" w:rsidRDefault="00F9491C" w:rsidP="00D76D3D">
      <w:pPr>
        <w:pStyle w:val="Paragrafoelenco"/>
        <w:numPr>
          <w:ilvl w:val="0"/>
          <w:numId w:val="26"/>
        </w:numPr>
        <w:ind w:left="426" w:hanging="426"/>
        <w:rPr>
          <w:rFonts w:ascii="Times New Roman" w:hAnsi="Times New Roman"/>
          <w:b/>
          <w:iCs/>
          <w:sz w:val="24"/>
          <w:szCs w:val="24"/>
        </w:rPr>
      </w:pPr>
      <w:r w:rsidRPr="00D704BA">
        <w:rPr>
          <w:rFonts w:ascii="Times New Roman" w:hAnsi="Times New Roman"/>
          <w:b/>
          <w:iCs/>
          <w:sz w:val="24"/>
          <w:szCs w:val="24"/>
        </w:rPr>
        <w:t xml:space="preserve">Progetti propri </w:t>
      </w:r>
    </w:p>
    <w:p w:rsidR="009647D1" w:rsidRPr="00D704BA" w:rsidRDefault="009647D1" w:rsidP="009647D1">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szCs w:val="24"/>
          <w:u w:val="single"/>
        </w:rPr>
      </w:pPr>
      <w:r w:rsidRPr="00D704BA">
        <w:rPr>
          <w:szCs w:val="24"/>
          <w:u w:val="single"/>
        </w:rPr>
        <w:t xml:space="preserve">Museo della Ceramica della Tuscia </w:t>
      </w:r>
    </w:p>
    <w:p w:rsidR="009647D1" w:rsidRPr="00D704BA" w:rsidRDefault="009647D1" w:rsidP="009647D1">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szCs w:val="24"/>
        </w:rPr>
      </w:pPr>
      <w:r w:rsidRPr="00D704BA">
        <w:rPr>
          <w:i/>
          <w:szCs w:val="24"/>
        </w:rPr>
        <w:t>(Settore Arte e Cultura)</w:t>
      </w:r>
    </w:p>
    <w:p w:rsidR="009647D1" w:rsidRPr="00D704BA" w:rsidRDefault="009647D1" w:rsidP="009647D1">
      <w:pPr>
        <w:rPr>
          <w:rFonts w:ascii="Times New Roman" w:hAnsi="Times New Roman"/>
          <w:szCs w:val="24"/>
        </w:rPr>
      </w:pPr>
      <w:r w:rsidRPr="00D704BA">
        <w:rPr>
          <w:rFonts w:ascii="Times New Roman" w:hAnsi="Times New Roman"/>
          <w:szCs w:val="24"/>
        </w:rPr>
        <w:t xml:space="preserve">Le attività del Museo della Ceramica della </w:t>
      </w:r>
      <w:proofErr w:type="gramStart"/>
      <w:r w:rsidRPr="00D704BA">
        <w:rPr>
          <w:rFonts w:ascii="Times New Roman" w:hAnsi="Times New Roman"/>
          <w:szCs w:val="24"/>
        </w:rPr>
        <w:t>Tuscia  continuer</w:t>
      </w:r>
      <w:r w:rsidR="00D952AD">
        <w:rPr>
          <w:rFonts w:ascii="Times New Roman" w:hAnsi="Times New Roman"/>
          <w:szCs w:val="24"/>
        </w:rPr>
        <w:t>anno</w:t>
      </w:r>
      <w:proofErr w:type="gramEnd"/>
      <w:r w:rsidR="00D952AD">
        <w:rPr>
          <w:rFonts w:ascii="Times New Roman" w:hAnsi="Times New Roman"/>
          <w:szCs w:val="24"/>
        </w:rPr>
        <w:t xml:space="preserve"> </w:t>
      </w:r>
      <w:r w:rsidRPr="00D704BA">
        <w:rPr>
          <w:rFonts w:ascii="Times New Roman" w:hAnsi="Times New Roman"/>
          <w:szCs w:val="24"/>
        </w:rPr>
        <w:t>ad essere gestit</w:t>
      </w:r>
      <w:r w:rsidR="00D952AD">
        <w:rPr>
          <w:rFonts w:ascii="Times New Roman" w:hAnsi="Times New Roman"/>
          <w:szCs w:val="24"/>
        </w:rPr>
        <w:t>e</w:t>
      </w:r>
      <w:r w:rsidRPr="00D704BA">
        <w:rPr>
          <w:rFonts w:ascii="Times New Roman" w:hAnsi="Times New Roman"/>
          <w:szCs w:val="24"/>
        </w:rPr>
        <w:t xml:space="preserve"> dalla Fondazione  attraverso la propria impresa strumentale    assicura</w:t>
      </w:r>
      <w:r w:rsidR="00EE3227">
        <w:rPr>
          <w:rFonts w:ascii="Times New Roman" w:hAnsi="Times New Roman"/>
          <w:szCs w:val="24"/>
        </w:rPr>
        <w:t>ndo</w:t>
      </w:r>
      <w:r w:rsidRPr="00D704BA">
        <w:rPr>
          <w:rFonts w:ascii="Times New Roman" w:hAnsi="Times New Roman"/>
          <w:szCs w:val="24"/>
        </w:rPr>
        <w:t xml:space="preserve"> la  copertura dei costi .  Al </w:t>
      </w:r>
      <w:r w:rsidRPr="00D704BA">
        <w:rPr>
          <w:rFonts w:ascii="Times New Roman" w:hAnsi="Times New Roman"/>
          <w:szCs w:val="24"/>
        </w:rPr>
        <w:lastRenderedPageBreak/>
        <w:t>sostegno delle attività del Museo partecipa anche con un proprio contributo il Comune di Viterbo</w:t>
      </w:r>
      <w:r w:rsidR="00EE3227">
        <w:rPr>
          <w:rFonts w:ascii="Times New Roman" w:hAnsi="Times New Roman"/>
          <w:szCs w:val="24"/>
        </w:rPr>
        <w:t xml:space="preserve"> secondo quanto previsto dall’apposito Protocollo d’intesa. </w:t>
      </w:r>
    </w:p>
    <w:p w:rsidR="009647D1" w:rsidRPr="00D704BA" w:rsidRDefault="009647D1" w:rsidP="00D704BA">
      <w:pPr>
        <w:pStyle w:val="Titolo1"/>
        <w:shd w:val="clear" w:color="auto" w:fill="FFFFFF"/>
        <w:spacing w:after="150"/>
        <w:jc w:val="both"/>
        <w:rPr>
          <w:bCs/>
          <w:i/>
          <w:sz w:val="24"/>
        </w:rPr>
      </w:pPr>
      <w:r w:rsidRPr="00D704BA">
        <w:rPr>
          <w:sz w:val="24"/>
        </w:rPr>
        <w:t xml:space="preserve">Per la realizzazione e lo </w:t>
      </w:r>
      <w:proofErr w:type="gramStart"/>
      <w:r w:rsidRPr="00D704BA">
        <w:rPr>
          <w:sz w:val="24"/>
        </w:rPr>
        <w:t>sviluppo  di</w:t>
      </w:r>
      <w:proofErr w:type="gramEnd"/>
      <w:r w:rsidRPr="00D704BA">
        <w:rPr>
          <w:sz w:val="24"/>
        </w:rPr>
        <w:t xml:space="preserve"> progetti ed iniziative cultuali si proseguirà nel solco già tracciato dando  piena attuazione agli accordi che legano il Museo a</w:t>
      </w:r>
      <w:r w:rsidR="00EE3227">
        <w:rPr>
          <w:sz w:val="24"/>
        </w:rPr>
        <w:t xml:space="preserve"> </w:t>
      </w:r>
      <w:r w:rsidRPr="00D704BA">
        <w:rPr>
          <w:sz w:val="24"/>
        </w:rPr>
        <w:t xml:space="preserve"> </w:t>
      </w:r>
      <w:r w:rsidR="00EE3227">
        <w:rPr>
          <w:sz w:val="24"/>
        </w:rPr>
        <w:t xml:space="preserve"> significative </w:t>
      </w:r>
      <w:r w:rsidRPr="00D704BA">
        <w:rPr>
          <w:sz w:val="24"/>
        </w:rPr>
        <w:t xml:space="preserve">realtà e presidi cultuali del Territorio quali il DISTU dell’Università degli Studi della Tuscia, la Biblioteca Consorziale di Viterbo  e il Consorzio  e il  Sistema Integrato Servizi Culturali Area Etrusco </w:t>
      </w:r>
      <w:proofErr w:type="spellStart"/>
      <w:r w:rsidRPr="00D704BA">
        <w:rPr>
          <w:sz w:val="24"/>
        </w:rPr>
        <w:t>Cimina</w:t>
      </w:r>
      <w:proofErr w:type="spellEnd"/>
      <w:r w:rsidRPr="00D704BA">
        <w:rPr>
          <w:sz w:val="24"/>
        </w:rPr>
        <w:t>.</w:t>
      </w:r>
    </w:p>
    <w:p w:rsidR="009647D1" w:rsidRPr="00D704BA" w:rsidRDefault="009647D1" w:rsidP="009647D1">
      <w:pPr>
        <w:rPr>
          <w:rFonts w:ascii="Times New Roman" w:hAnsi="Times New Roman"/>
          <w:szCs w:val="24"/>
        </w:rPr>
      </w:pPr>
      <w:r w:rsidRPr="00D704BA">
        <w:rPr>
          <w:rFonts w:ascii="Times New Roman" w:hAnsi="Times New Roman"/>
          <w:szCs w:val="24"/>
        </w:rPr>
        <w:t xml:space="preserve">Le </w:t>
      </w:r>
      <w:proofErr w:type="gramStart"/>
      <w:r w:rsidRPr="00D704BA">
        <w:rPr>
          <w:rFonts w:ascii="Times New Roman" w:hAnsi="Times New Roman"/>
          <w:szCs w:val="24"/>
        </w:rPr>
        <w:t>principali  iniziative</w:t>
      </w:r>
      <w:proofErr w:type="gramEnd"/>
      <w:r w:rsidRPr="00D704BA">
        <w:rPr>
          <w:rFonts w:ascii="Times New Roman" w:hAnsi="Times New Roman"/>
          <w:szCs w:val="24"/>
        </w:rPr>
        <w:t xml:space="preserve"> che si prevede in particolare di realizzare,   nel rispetto delle limitazioni stabilite per il contenimento del contagio da </w:t>
      </w:r>
      <w:proofErr w:type="spellStart"/>
      <w:r w:rsidRPr="00D704BA">
        <w:rPr>
          <w:rFonts w:ascii="Times New Roman" w:hAnsi="Times New Roman"/>
          <w:szCs w:val="24"/>
        </w:rPr>
        <w:t>Covid</w:t>
      </w:r>
      <w:proofErr w:type="spellEnd"/>
      <w:r w:rsidRPr="00D704BA">
        <w:rPr>
          <w:rFonts w:ascii="Times New Roman" w:hAnsi="Times New Roman"/>
          <w:szCs w:val="24"/>
        </w:rPr>
        <w:t xml:space="preserve"> – 19, sono  : </w:t>
      </w:r>
    </w:p>
    <w:p w:rsidR="009647D1" w:rsidRPr="00D704BA" w:rsidRDefault="009647D1" w:rsidP="009647D1">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D704BA">
        <w:rPr>
          <w:rFonts w:ascii="Times New Roman" w:hAnsi="Times New Roman"/>
          <w:szCs w:val="24"/>
        </w:rPr>
        <w:t xml:space="preserve">n. 2   mostre temporanee di   ceramiche </w:t>
      </w:r>
      <w:proofErr w:type="gramStart"/>
      <w:r w:rsidRPr="00D704BA">
        <w:rPr>
          <w:rFonts w:ascii="Times New Roman" w:hAnsi="Times New Roman"/>
          <w:szCs w:val="24"/>
        </w:rPr>
        <w:t>antiche  provenienti</w:t>
      </w:r>
      <w:proofErr w:type="gramEnd"/>
      <w:r w:rsidRPr="00D704BA">
        <w:rPr>
          <w:rFonts w:ascii="Times New Roman" w:hAnsi="Times New Roman"/>
          <w:szCs w:val="24"/>
        </w:rPr>
        <w:t xml:space="preserve"> da scavi nel territorio della provincia di Viterbo ( Bagnoregio e Viterbo) ;</w:t>
      </w:r>
    </w:p>
    <w:p w:rsidR="009647D1" w:rsidRPr="00D704BA" w:rsidRDefault="009647D1" w:rsidP="009647D1">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proofErr w:type="gramStart"/>
      <w:r w:rsidRPr="00D704BA">
        <w:rPr>
          <w:rFonts w:ascii="Times New Roman" w:hAnsi="Times New Roman"/>
          <w:szCs w:val="24"/>
        </w:rPr>
        <w:t>aggiornare  le</w:t>
      </w:r>
      <w:proofErr w:type="gramEnd"/>
      <w:r w:rsidRPr="00D704BA">
        <w:rPr>
          <w:rFonts w:ascii="Times New Roman" w:hAnsi="Times New Roman"/>
          <w:szCs w:val="24"/>
        </w:rPr>
        <w:t xml:space="preserve"> attività di laboratorio ed outdoor rivolte  in particolare  alle scuole della provincia,   alle famiglie ed quanti  con difficoltà a poter raggiungere la sede del Museo  prevedendo modalità di svolgimento anche a distanza; </w:t>
      </w:r>
    </w:p>
    <w:p w:rsidR="009647D1" w:rsidRPr="00D704BA" w:rsidRDefault="009647D1" w:rsidP="009647D1">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D704BA">
        <w:rPr>
          <w:rFonts w:ascii="Times New Roman" w:hAnsi="Times New Roman"/>
          <w:szCs w:val="24"/>
        </w:rPr>
        <w:t xml:space="preserve">eventi </w:t>
      </w:r>
      <w:proofErr w:type="gramStart"/>
      <w:r w:rsidRPr="00D704BA">
        <w:rPr>
          <w:rFonts w:ascii="Times New Roman" w:hAnsi="Times New Roman"/>
          <w:szCs w:val="24"/>
        </w:rPr>
        <w:t>culturali  con</w:t>
      </w:r>
      <w:proofErr w:type="gramEnd"/>
      <w:r w:rsidRPr="00D704BA">
        <w:rPr>
          <w:rFonts w:ascii="Times New Roman" w:hAnsi="Times New Roman"/>
          <w:szCs w:val="24"/>
        </w:rPr>
        <w:t xml:space="preserve"> visite guidate a tema;  </w:t>
      </w:r>
    </w:p>
    <w:p w:rsidR="009647D1" w:rsidRPr="00D704BA" w:rsidRDefault="009647D1" w:rsidP="009647D1">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proofErr w:type="gramStart"/>
      <w:r w:rsidRPr="00D704BA">
        <w:rPr>
          <w:rFonts w:ascii="Times New Roman" w:hAnsi="Times New Roman"/>
          <w:szCs w:val="24"/>
        </w:rPr>
        <w:t>ospitare  incontri</w:t>
      </w:r>
      <w:proofErr w:type="gramEnd"/>
      <w:r w:rsidRPr="00D704BA">
        <w:rPr>
          <w:rFonts w:ascii="Times New Roman" w:hAnsi="Times New Roman"/>
          <w:szCs w:val="24"/>
        </w:rPr>
        <w:t>, seminari, concerti, ecc...</w:t>
      </w:r>
    </w:p>
    <w:p w:rsidR="009647D1" w:rsidRPr="00CE107C" w:rsidRDefault="009647D1" w:rsidP="00CE107C">
      <w:pPr>
        <w:pStyle w:val="Griglia"/>
        <w:numPr>
          <w:ilvl w:val="0"/>
          <w:numId w:val="28"/>
        </w:numPr>
        <w:spacing w:line="240" w:lineRule="auto"/>
        <w:jc w:val="both"/>
        <w:rPr>
          <w:sz w:val="24"/>
          <w:szCs w:val="24"/>
          <w:shd w:val="clear" w:color="auto" w:fill="FFFFFF"/>
        </w:rPr>
      </w:pPr>
      <w:r w:rsidRPr="00D704BA">
        <w:rPr>
          <w:sz w:val="24"/>
          <w:szCs w:val="24"/>
        </w:rPr>
        <w:t xml:space="preserve">arricchimento </w:t>
      </w:r>
      <w:proofErr w:type="gramStart"/>
      <w:r w:rsidRPr="00D704BA">
        <w:rPr>
          <w:sz w:val="24"/>
          <w:szCs w:val="24"/>
        </w:rPr>
        <w:t>delle  collezioni</w:t>
      </w:r>
      <w:proofErr w:type="gramEnd"/>
      <w:r w:rsidRPr="00D704BA">
        <w:rPr>
          <w:sz w:val="24"/>
          <w:szCs w:val="24"/>
        </w:rPr>
        <w:t xml:space="preserve"> sia attraverso il deposito di reperti già esposti  in precedenti mostre temporanee  sia   attraverso nuove  acquisizioni.</w:t>
      </w:r>
    </w:p>
    <w:p w:rsidR="00D34392" w:rsidRPr="00D952AD" w:rsidRDefault="009647D1" w:rsidP="00D952AD">
      <w:pPr>
        <w:widowControl w:val="0"/>
        <w:rPr>
          <w:rFonts w:ascii="Times New Roman" w:hAnsi="Times New Roman"/>
          <w:bCs/>
          <w:szCs w:val="24"/>
        </w:rPr>
      </w:pPr>
      <w:r w:rsidRPr="00D704BA">
        <w:rPr>
          <w:rFonts w:ascii="Times New Roman" w:hAnsi="Times New Roman"/>
          <w:bCs/>
          <w:szCs w:val="24"/>
        </w:rPr>
        <w:t xml:space="preserve">Ad </w:t>
      </w:r>
      <w:proofErr w:type="gramStart"/>
      <w:r w:rsidRPr="00D704BA">
        <w:rPr>
          <w:rFonts w:ascii="Times New Roman" w:hAnsi="Times New Roman"/>
          <w:bCs/>
          <w:szCs w:val="24"/>
        </w:rPr>
        <w:t>integrazione  dell’offerta</w:t>
      </w:r>
      <w:proofErr w:type="gramEnd"/>
      <w:r w:rsidRPr="00D704BA">
        <w:rPr>
          <w:rFonts w:ascii="Times New Roman" w:hAnsi="Times New Roman"/>
          <w:bCs/>
          <w:szCs w:val="24"/>
        </w:rPr>
        <w:t xml:space="preserve"> museale  </w:t>
      </w:r>
      <w:r w:rsidRPr="00D704BA">
        <w:rPr>
          <w:rFonts w:ascii="Times New Roman" w:hAnsi="Times New Roman"/>
          <w:szCs w:val="24"/>
        </w:rPr>
        <w:t>proseguirà l’attività di accompagnamento alle visite  guidate a Palazzo Brugiotti</w:t>
      </w:r>
      <w:r w:rsidRPr="00D704BA">
        <w:rPr>
          <w:rFonts w:ascii="Times New Roman" w:hAnsi="Times New Roman"/>
          <w:bCs/>
          <w:szCs w:val="24"/>
        </w:rPr>
        <w:t xml:space="preserve"> così come la programmazione di Incontri culturali al Palazzo e alle sue collezioni d'arte.</w:t>
      </w:r>
    </w:p>
    <w:p w:rsidR="00D34392" w:rsidRPr="00D704BA" w:rsidRDefault="00D34392" w:rsidP="009647D1">
      <w:pPr>
        <w:rPr>
          <w:rFonts w:ascii="Times New Roman" w:hAnsi="Times New Roman"/>
          <w:szCs w:val="24"/>
          <w:u w:val="single"/>
        </w:rPr>
      </w:pPr>
    </w:p>
    <w:p w:rsidR="009647D1" w:rsidRPr="00D704BA" w:rsidRDefault="009647D1" w:rsidP="009647D1">
      <w:pPr>
        <w:rPr>
          <w:rFonts w:ascii="Times New Roman" w:hAnsi="Times New Roman"/>
          <w:szCs w:val="24"/>
          <w:u w:val="single"/>
        </w:rPr>
      </w:pPr>
      <w:r w:rsidRPr="00D704BA">
        <w:rPr>
          <w:rFonts w:ascii="Times New Roman" w:hAnsi="Times New Roman"/>
          <w:szCs w:val="24"/>
          <w:u w:val="single"/>
        </w:rPr>
        <w:t xml:space="preserve">Centro culturale di Valle di </w:t>
      </w:r>
      <w:proofErr w:type="spellStart"/>
      <w:r w:rsidRPr="00D704BA">
        <w:rPr>
          <w:rFonts w:ascii="Times New Roman" w:hAnsi="Times New Roman"/>
          <w:szCs w:val="24"/>
          <w:u w:val="single"/>
        </w:rPr>
        <w:t>Faul</w:t>
      </w:r>
      <w:proofErr w:type="spellEnd"/>
    </w:p>
    <w:p w:rsidR="009647D1" w:rsidRPr="00D704BA" w:rsidRDefault="009647D1" w:rsidP="009647D1">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szCs w:val="24"/>
        </w:rPr>
      </w:pPr>
      <w:r w:rsidRPr="00D704BA">
        <w:rPr>
          <w:i/>
          <w:szCs w:val="24"/>
        </w:rPr>
        <w:t>(Settore Arte e Cultura)</w:t>
      </w:r>
    </w:p>
    <w:p w:rsidR="009647D1" w:rsidRPr="00D704BA" w:rsidRDefault="009647D1" w:rsidP="009647D1">
      <w:pPr>
        <w:rPr>
          <w:rFonts w:ascii="Times New Roman" w:hAnsi="Times New Roman"/>
          <w:szCs w:val="24"/>
        </w:rPr>
      </w:pPr>
      <w:r w:rsidRPr="00D704BA">
        <w:rPr>
          <w:rFonts w:ascii="Times New Roman" w:hAnsi="Times New Roman"/>
          <w:szCs w:val="24"/>
        </w:rPr>
        <w:t xml:space="preserve">Analogamente a quanto previsto per il Museo della Ceramica della Tuscia anche il Centro culturale di Valle di </w:t>
      </w:r>
      <w:proofErr w:type="spellStart"/>
      <w:proofErr w:type="gramStart"/>
      <w:r w:rsidRPr="00D704BA">
        <w:rPr>
          <w:rFonts w:ascii="Times New Roman" w:hAnsi="Times New Roman"/>
          <w:szCs w:val="24"/>
        </w:rPr>
        <w:t>Faul</w:t>
      </w:r>
      <w:proofErr w:type="spellEnd"/>
      <w:r w:rsidRPr="00D704BA">
        <w:rPr>
          <w:rFonts w:ascii="Times New Roman" w:hAnsi="Times New Roman"/>
          <w:szCs w:val="24"/>
        </w:rPr>
        <w:t xml:space="preserve">  continuerà</w:t>
      </w:r>
      <w:proofErr w:type="gramEnd"/>
      <w:r w:rsidRPr="00D704BA">
        <w:rPr>
          <w:rFonts w:ascii="Times New Roman" w:hAnsi="Times New Roman"/>
          <w:szCs w:val="24"/>
        </w:rPr>
        <w:t xml:space="preserve"> ad essere gestito</w:t>
      </w:r>
      <w:r w:rsidR="00EE3227">
        <w:rPr>
          <w:rFonts w:ascii="Times New Roman" w:hAnsi="Times New Roman"/>
          <w:szCs w:val="24"/>
        </w:rPr>
        <w:t xml:space="preserve"> e sostenuto</w:t>
      </w:r>
      <w:r w:rsidRPr="00D704BA">
        <w:rPr>
          <w:rFonts w:ascii="Times New Roman" w:hAnsi="Times New Roman"/>
          <w:szCs w:val="24"/>
        </w:rPr>
        <w:t xml:space="preserve"> dalla Fondazione  attraverso la propria impresa strumentale.</w:t>
      </w:r>
    </w:p>
    <w:p w:rsidR="009647D1" w:rsidRPr="00D952AD" w:rsidRDefault="009647D1" w:rsidP="009647D1">
      <w:pPr>
        <w:rPr>
          <w:rStyle w:val="CharacterStyle4"/>
          <w:rFonts w:ascii="Times New Roman" w:hAnsi="Times New Roman"/>
          <w:sz w:val="24"/>
          <w:szCs w:val="24"/>
        </w:rPr>
      </w:pPr>
      <w:r w:rsidRPr="00D952AD">
        <w:rPr>
          <w:rFonts w:ascii="Times New Roman" w:hAnsi="Times New Roman"/>
          <w:szCs w:val="24"/>
        </w:rPr>
        <w:t xml:space="preserve">Il Centro </w:t>
      </w:r>
      <w:r w:rsidR="00EE3227">
        <w:rPr>
          <w:rFonts w:ascii="Times New Roman" w:hAnsi="Times New Roman"/>
          <w:szCs w:val="24"/>
        </w:rPr>
        <w:t>rimane</w:t>
      </w:r>
      <w:r w:rsidRPr="00D952AD">
        <w:rPr>
          <w:rFonts w:ascii="Times New Roman" w:hAnsi="Times New Roman"/>
          <w:szCs w:val="24"/>
        </w:rPr>
        <w:t xml:space="preserve"> disponibile </w:t>
      </w:r>
      <w:proofErr w:type="gramStart"/>
      <w:r w:rsidRPr="00D952AD">
        <w:rPr>
          <w:rFonts w:ascii="Times New Roman" w:hAnsi="Times New Roman"/>
          <w:szCs w:val="24"/>
        </w:rPr>
        <w:t>per  accogliere</w:t>
      </w:r>
      <w:proofErr w:type="gramEnd"/>
      <w:r w:rsidRPr="00D952AD">
        <w:rPr>
          <w:rFonts w:ascii="Times New Roman" w:hAnsi="Times New Roman"/>
          <w:szCs w:val="24"/>
        </w:rPr>
        <w:t xml:space="preserve"> attività culturali   di tipo espositivo, convegnistico, musicale, teatrale, ecc..   realizzate sia direttamente dalla Fondazione   </w:t>
      </w:r>
      <w:proofErr w:type="gramStart"/>
      <w:r w:rsidRPr="00D952AD">
        <w:rPr>
          <w:rFonts w:ascii="Times New Roman" w:hAnsi="Times New Roman"/>
          <w:szCs w:val="24"/>
        </w:rPr>
        <w:t>che  da</w:t>
      </w:r>
      <w:proofErr w:type="gramEnd"/>
      <w:r w:rsidRPr="00D952AD">
        <w:rPr>
          <w:rFonts w:ascii="Times New Roman" w:hAnsi="Times New Roman"/>
          <w:szCs w:val="24"/>
        </w:rPr>
        <w:t xml:space="preserve"> soggetti terzi nel caso  </w:t>
      </w:r>
      <w:r w:rsidRPr="00D952AD">
        <w:rPr>
          <w:rStyle w:val="CharacterStyle4"/>
          <w:rFonts w:ascii="Times New Roman" w:hAnsi="Times New Roman"/>
          <w:sz w:val="24"/>
          <w:szCs w:val="24"/>
        </w:rPr>
        <w:t xml:space="preserve">i contenuti </w:t>
      </w:r>
      <w:r w:rsidRPr="00D952AD">
        <w:rPr>
          <w:rFonts w:ascii="Times New Roman" w:hAnsi="Times New Roman"/>
          <w:szCs w:val="24"/>
        </w:rPr>
        <w:t>risultino compatibili con le materie riconducibili alla sfera di competenza della Fondazione e  coerenti con gli obiettivi di crescita socio-culturale del territorio</w:t>
      </w:r>
      <w:r w:rsidRPr="00D952AD">
        <w:rPr>
          <w:rStyle w:val="CharacterStyle4"/>
          <w:rFonts w:ascii="Times New Roman" w:hAnsi="Times New Roman"/>
          <w:sz w:val="24"/>
          <w:szCs w:val="24"/>
        </w:rPr>
        <w:t xml:space="preserve">, così come nei precedenti esercizi. </w:t>
      </w:r>
    </w:p>
    <w:p w:rsidR="00D952AD" w:rsidRPr="00D952AD" w:rsidRDefault="00D952AD" w:rsidP="00D952AD">
      <w:pPr>
        <w:rPr>
          <w:rFonts w:ascii="Times New Roman" w:hAnsi="Times New Roman"/>
          <w:szCs w:val="24"/>
        </w:rPr>
      </w:pPr>
      <w:proofErr w:type="gramStart"/>
      <w:r w:rsidRPr="00D952AD">
        <w:rPr>
          <w:rStyle w:val="CharacterStyle4"/>
          <w:rFonts w:ascii="Times New Roman" w:hAnsi="Times New Roman"/>
          <w:sz w:val="24"/>
          <w:szCs w:val="24"/>
        </w:rPr>
        <w:t>Nei  primi</w:t>
      </w:r>
      <w:proofErr w:type="gramEnd"/>
      <w:r w:rsidRPr="00D952AD">
        <w:rPr>
          <w:rStyle w:val="CharacterStyle4"/>
          <w:rFonts w:ascii="Times New Roman" w:hAnsi="Times New Roman"/>
          <w:sz w:val="24"/>
          <w:szCs w:val="24"/>
        </w:rPr>
        <w:t xml:space="preserve"> mesi del 2021 il Centro continuerà ad  ospitare  il cantiere di restauro del Polittico del Balletta della Chiesa di San Giovanni in Zoccoli a Viterbo intervento interamente sostenuto dalla Fondazione. La collocazione del cantiere nei locali del Centro è stata pensata   anche per amplificarne </w:t>
      </w:r>
      <w:proofErr w:type="gramStart"/>
      <w:r w:rsidRPr="00D952AD">
        <w:rPr>
          <w:rStyle w:val="CharacterStyle4"/>
          <w:rFonts w:ascii="Times New Roman" w:hAnsi="Times New Roman"/>
          <w:sz w:val="24"/>
          <w:szCs w:val="24"/>
        </w:rPr>
        <w:t>la  divulgazione</w:t>
      </w:r>
      <w:proofErr w:type="gramEnd"/>
      <w:r w:rsidRPr="00D952AD">
        <w:rPr>
          <w:rStyle w:val="CharacterStyle4"/>
          <w:rFonts w:ascii="Times New Roman" w:hAnsi="Times New Roman"/>
          <w:sz w:val="24"/>
          <w:szCs w:val="24"/>
        </w:rPr>
        <w:t xml:space="preserve">   dell’intervento al termine del quale </w:t>
      </w:r>
      <w:r w:rsidRPr="00D952AD">
        <w:rPr>
          <w:rFonts w:ascii="Times New Roman" w:hAnsi="Times New Roman"/>
          <w:szCs w:val="24"/>
        </w:rPr>
        <w:t>verrà altresì promosso anche mediante un’apposita iniziativa editoriale.</w:t>
      </w:r>
    </w:p>
    <w:p w:rsidR="00D952AD" w:rsidRDefault="00D952AD" w:rsidP="009647D1">
      <w:pPr>
        <w:widowControl w:val="0"/>
        <w:rPr>
          <w:rFonts w:ascii="Times New Roman" w:hAnsi="Times New Roman"/>
          <w:b/>
          <w:szCs w:val="24"/>
        </w:rPr>
      </w:pPr>
    </w:p>
    <w:p w:rsidR="00D952AD" w:rsidRPr="00D704BA" w:rsidRDefault="00D952AD" w:rsidP="009647D1">
      <w:pPr>
        <w:widowControl w:val="0"/>
        <w:rPr>
          <w:rFonts w:ascii="Times New Roman" w:hAnsi="Times New Roman"/>
          <w:b/>
          <w:szCs w:val="24"/>
        </w:rPr>
      </w:pPr>
    </w:p>
    <w:p w:rsidR="009647D1" w:rsidRPr="00D704BA" w:rsidRDefault="009647D1" w:rsidP="009647D1">
      <w:pPr>
        <w:widowControl w:val="0"/>
        <w:rPr>
          <w:rFonts w:ascii="Times New Roman" w:hAnsi="Times New Roman"/>
          <w:szCs w:val="24"/>
          <w:u w:val="single"/>
        </w:rPr>
      </w:pPr>
      <w:r w:rsidRPr="00D704BA">
        <w:rPr>
          <w:rFonts w:ascii="Times New Roman" w:hAnsi="Times New Roman"/>
          <w:szCs w:val="24"/>
          <w:u w:val="single"/>
        </w:rPr>
        <w:t>Interventi di restauro e valorizzazione del patrimonio artistico e culturale locale</w:t>
      </w:r>
    </w:p>
    <w:p w:rsidR="009647D1" w:rsidRPr="00D704BA" w:rsidRDefault="009647D1" w:rsidP="009647D1">
      <w:pPr>
        <w:widowControl w:val="0"/>
        <w:rPr>
          <w:rFonts w:ascii="Times New Roman" w:hAnsi="Times New Roman"/>
          <w:szCs w:val="24"/>
        </w:rPr>
      </w:pPr>
      <w:r w:rsidRPr="00D704BA">
        <w:rPr>
          <w:rFonts w:ascii="Times New Roman" w:hAnsi="Times New Roman"/>
          <w:szCs w:val="24"/>
        </w:rPr>
        <w:t xml:space="preserve">Si prevedono due </w:t>
      </w:r>
      <w:proofErr w:type="gramStart"/>
      <w:r w:rsidRPr="00D704BA">
        <w:rPr>
          <w:rFonts w:ascii="Times New Roman" w:hAnsi="Times New Roman"/>
          <w:szCs w:val="24"/>
        </w:rPr>
        <w:t xml:space="preserve">restauri </w:t>
      </w:r>
      <w:r w:rsidR="00CE107C">
        <w:rPr>
          <w:rFonts w:ascii="Times New Roman" w:hAnsi="Times New Roman"/>
          <w:szCs w:val="24"/>
        </w:rPr>
        <w:t xml:space="preserve"> </w:t>
      </w:r>
      <w:r w:rsidR="00CE107C" w:rsidRPr="00CE107C">
        <w:rPr>
          <w:rFonts w:ascii="Times New Roman" w:hAnsi="Times New Roman"/>
          <w:szCs w:val="24"/>
          <w:vertAlign w:val="superscript"/>
        </w:rPr>
        <w:t>(</w:t>
      </w:r>
      <w:proofErr w:type="gramEnd"/>
      <w:r w:rsidR="00CE107C" w:rsidRPr="00CE107C">
        <w:rPr>
          <w:rFonts w:ascii="Times New Roman" w:hAnsi="Times New Roman"/>
          <w:szCs w:val="24"/>
          <w:vertAlign w:val="superscript"/>
        </w:rPr>
        <w:t xml:space="preserve">*) </w:t>
      </w:r>
      <w:r w:rsidRPr="00D704BA">
        <w:rPr>
          <w:rFonts w:ascii="Times New Roman" w:hAnsi="Times New Roman"/>
          <w:szCs w:val="24"/>
        </w:rPr>
        <w:t xml:space="preserve">di  rilevante significato che riguarderanno: </w:t>
      </w:r>
    </w:p>
    <w:p w:rsidR="009647D1" w:rsidRPr="00CE107C" w:rsidRDefault="009647D1" w:rsidP="009647D1">
      <w:pPr>
        <w:pStyle w:val="Paragrafoelenco"/>
        <w:widowControl w:val="0"/>
        <w:numPr>
          <w:ilvl w:val="0"/>
          <w:numId w:val="37"/>
        </w:numPr>
        <w:spacing w:after="0" w:line="240" w:lineRule="auto"/>
        <w:ind w:left="426" w:hanging="426"/>
        <w:jc w:val="both"/>
        <w:rPr>
          <w:rFonts w:ascii="Times New Roman" w:hAnsi="Times New Roman"/>
          <w:sz w:val="24"/>
          <w:szCs w:val="24"/>
        </w:rPr>
      </w:pPr>
      <w:r w:rsidRPr="00CE107C">
        <w:rPr>
          <w:rFonts w:ascii="Times New Roman" w:hAnsi="Times New Roman"/>
          <w:sz w:val="24"/>
          <w:szCs w:val="24"/>
        </w:rPr>
        <w:t xml:space="preserve">il dipinto, collocato </w:t>
      </w:r>
      <w:proofErr w:type="gramStart"/>
      <w:r w:rsidRPr="00CE107C">
        <w:rPr>
          <w:rFonts w:ascii="Times New Roman" w:hAnsi="Times New Roman"/>
          <w:sz w:val="24"/>
          <w:szCs w:val="24"/>
        </w:rPr>
        <w:t>nella  Concattedrale</w:t>
      </w:r>
      <w:proofErr w:type="gramEnd"/>
      <w:r w:rsidRPr="00CE107C">
        <w:rPr>
          <w:rFonts w:ascii="Times New Roman" w:hAnsi="Times New Roman"/>
          <w:sz w:val="24"/>
          <w:szCs w:val="24"/>
        </w:rPr>
        <w:t xml:space="preserve"> di Santa Maria Assunta, a Gallese  “Sepoltura di Cristo” del pittore Paris </w:t>
      </w:r>
      <w:proofErr w:type="spellStart"/>
      <w:r w:rsidRPr="00CE107C">
        <w:rPr>
          <w:rFonts w:ascii="Times New Roman" w:hAnsi="Times New Roman"/>
          <w:sz w:val="24"/>
          <w:szCs w:val="24"/>
        </w:rPr>
        <w:t>Nogari</w:t>
      </w:r>
      <w:proofErr w:type="spellEnd"/>
      <w:r w:rsidRPr="00CE107C">
        <w:rPr>
          <w:rFonts w:ascii="Times New Roman" w:hAnsi="Times New Roman"/>
          <w:sz w:val="24"/>
          <w:szCs w:val="24"/>
        </w:rPr>
        <w:t xml:space="preserve">, artista romano della seconda metà del 500.Trattandosi di un bene mobile si ripropone  l'opportunità di ospitare il cantiere aperto così come  per il Balletta nei locali  Centro Culturale di Valle </w:t>
      </w:r>
      <w:proofErr w:type="spellStart"/>
      <w:r w:rsidRPr="00CE107C">
        <w:rPr>
          <w:rFonts w:ascii="Times New Roman" w:hAnsi="Times New Roman"/>
          <w:sz w:val="24"/>
          <w:szCs w:val="24"/>
        </w:rPr>
        <w:t>Faul</w:t>
      </w:r>
      <w:proofErr w:type="spellEnd"/>
      <w:r w:rsidRPr="00CE107C">
        <w:rPr>
          <w:rFonts w:ascii="Times New Roman" w:hAnsi="Times New Roman"/>
          <w:sz w:val="24"/>
          <w:szCs w:val="24"/>
        </w:rPr>
        <w:t>;</w:t>
      </w:r>
    </w:p>
    <w:p w:rsidR="009647D1" w:rsidRPr="00CE107C" w:rsidRDefault="009647D1" w:rsidP="009647D1">
      <w:pPr>
        <w:pStyle w:val="Paragrafoelenco"/>
        <w:widowControl w:val="0"/>
        <w:numPr>
          <w:ilvl w:val="0"/>
          <w:numId w:val="38"/>
        </w:numPr>
        <w:spacing w:after="0" w:line="240" w:lineRule="auto"/>
        <w:ind w:left="426" w:hanging="426"/>
        <w:jc w:val="both"/>
        <w:rPr>
          <w:rFonts w:ascii="Times New Roman" w:hAnsi="Times New Roman"/>
          <w:bCs/>
          <w:sz w:val="24"/>
          <w:szCs w:val="24"/>
        </w:rPr>
      </w:pPr>
      <w:r w:rsidRPr="00CE107C">
        <w:rPr>
          <w:rFonts w:ascii="Times New Roman" w:hAnsi="Times New Roman"/>
          <w:sz w:val="24"/>
          <w:szCs w:val="24"/>
          <w:shd w:val="clear" w:color="auto" w:fill="FFFFFF"/>
        </w:rPr>
        <w:t xml:space="preserve">il pavimento ceramico </w:t>
      </w:r>
      <w:proofErr w:type="gramStart"/>
      <w:r w:rsidRPr="00CE107C">
        <w:rPr>
          <w:rFonts w:ascii="Times New Roman" w:hAnsi="Times New Roman"/>
          <w:sz w:val="24"/>
          <w:szCs w:val="24"/>
          <w:shd w:val="clear" w:color="auto" w:fill="FFFFFF"/>
        </w:rPr>
        <w:t>della  </w:t>
      </w:r>
      <w:r w:rsidRPr="00CE107C">
        <w:rPr>
          <w:rFonts w:ascii="Times New Roman" w:hAnsi="Times New Roman"/>
          <w:bCs/>
          <w:sz w:val="24"/>
          <w:szCs w:val="24"/>
          <w:shd w:val="clear" w:color="auto" w:fill="FFFFFF"/>
        </w:rPr>
        <w:t>Cappella</w:t>
      </w:r>
      <w:proofErr w:type="gramEnd"/>
      <w:r w:rsidRPr="00CE107C">
        <w:rPr>
          <w:rFonts w:ascii="Times New Roman" w:hAnsi="Times New Roman"/>
          <w:bCs/>
          <w:sz w:val="24"/>
          <w:szCs w:val="24"/>
          <w:shd w:val="clear" w:color="auto" w:fill="FFFFFF"/>
        </w:rPr>
        <w:t xml:space="preserve"> </w:t>
      </w:r>
      <w:proofErr w:type="spellStart"/>
      <w:r w:rsidRPr="00CE107C">
        <w:rPr>
          <w:rFonts w:ascii="Times New Roman" w:hAnsi="Times New Roman"/>
          <w:bCs/>
          <w:sz w:val="24"/>
          <w:szCs w:val="24"/>
          <w:shd w:val="clear" w:color="auto" w:fill="FFFFFF"/>
        </w:rPr>
        <w:t>Mazzatosta</w:t>
      </w:r>
      <w:proofErr w:type="spellEnd"/>
      <w:r w:rsidRPr="00CE107C">
        <w:rPr>
          <w:rFonts w:ascii="Times New Roman" w:hAnsi="Times New Roman"/>
          <w:sz w:val="24"/>
          <w:szCs w:val="24"/>
          <w:shd w:val="clear" w:color="auto" w:fill="FFFFFF"/>
        </w:rPr>
        <w:t>  in Santa Maria della Verità a Viterbo  considerata con i sui affreschi una delle più significative opere rinascimentali della </w:t>
      </w:r>
      <w:hyperlink r:id="rId9" w:tooltip="Tuscia" w:history="1">
        <w:r w:rsidRPr="00CE107C">
          <w:rPr>
            <w:rStyle w:val="Collegamentoipertestuale"/>
            <w:rFonts w:ascii="Times New Roman" w:eastAsia="Arial Unicode MS" w:hAnsi="Times New Roman" w:cs="Times New Roman"/>
            <w:color w:val="auto"/>
            <w:shd w:val="clear" w:color="auto" w:fill="FFFFFF"/>
          </w:rPr>
          <w:t>Tuscia</w:t>
        </w:r>
      </w:hyperlink>
      <w:r w:rsidRPr="00CE107C">
        <w:rPr>
          <w:rFonts w:ascii="Times New Roman" w:hAnsi="Times New Roman"/>
          <w:sz w:val="24"/>
          <w:szCs w:val="24"/>
          <w:shd w:val="clear" w:color="auto" w:fill="FFFFFF"/>
        </w:rPr>
        <w:t>.</w:t>
      </w:r>
    </w:p>
    <w:p w:rsidR="00CE107C" w:rsidRPr="00CE107C" w:rsidRDefault="00CE107C" w:rsidP="00CE107C">
      <w:pPr>
        <w:pStyle w:val="Paragrafoelenco"/>
        <w:widowControl w:val="0"/>
        <w:spacing w:after="0" w:line="240" w:lineRule="auto"/>
        <w:ind w:left="426"/>
        <w:jc w:val="both"/>
        <w:rPr>
          <w:rFonts w:ascii="Times New Roman" w:hAnsi="Times New Roman"/>
          <w:bCs/>
          <w:sz w:val="24"/>
          <w:szCs w:val="24"/>
        </w:rPr>
      </w:pPr>
    </w:p>
    <w:p w:rsidR="00CE107C" w:rsidRPr="00CE107C" w:rsidRDefault="00CE107C" w:rsidP="00CE107C">
      <w:pPr>
        <w:tabs>
          <w:tab w:val="clear" w:pos="567"/>
        </w:tabs>
        <w:ind w:left="709" w:hanging="283"/>
        <w:rPr>
          <w:rFonts w:ascii="Times New Roman" w:hAnsi="Times New Roman"/>
          <w:sz w:val="16"/>
          <w:szCs w:val="16"/>
        </w:rPr>
      </w:pPr>
      <w:r w:rsidRPr="00CE107C">
        <w:rPr>
          <w:rFonts w:ascii="Times New Roman" w:hAnsi="Times New Roman"/>
          <w:sz w:val="16"/>
          <w:szCs w:val="16"/>
        </w:rPr>
        <w:t xml:space="preserve">(*) al momento della stesura del presente documento </w:t>
      </w:r>
      <w:r>
        <w:rPr>
          <w:rFonts w:ascii="Times New Roman" w:hAnsi="Times New Roman"/>
          <w:sz w:val="16"/>
          <w:szCs w:val="16"/>
        </w:rPr>
        <w:t xml:space="preserve">sono </w:t>
      </w:r>
      <w:r w:rsidRPr="00CE107C">
        <w:rPr>
          <w:rFonts w:ascii="Times New Roman" w:hAnsi="Times New Roman"/>
          <w:sz w:val="16"/>
          <w:szCs w:val="16"/>
        </w:rPr>
        <w:t>in corso di approfondimento la definizione degli aspetti tecnici e procedurali degli interventi.</w:t>
      </w:r>
    </w:p>
    <w:p w:rsidR="009647D1" w:rsidRPr="00CE107C" w:rsidRDefault="00CE107C" w:rsidP="009647D1">
      <w:pPr>
        <w:rPr>
          <w:rFonts w:ascii="Times New Roman" w:hAnsi="Times New Roman"/>
          <w:sz w:val="16"/>
          <w:szCs w:val="16"/>
        </w:rPr>
      </w:pPr>
      <w:r w:rsidRPr="00CE107C">
        <w:rPr>
          <w:rFonts w:ascii="Times New Roman" w:hAnsi="Times New Roman"/>
          <w:sz w:val="16"/>
          <w:szCs w:val="16"/>
        </w:rPr>
        <w:lastRenderedPageBreak/>
        <w:t xml:space="preserve"> </w:t>
      </w:r>
    </w:p>
    <w:p w:rsidR="00D704BA" w:rsidRPr="00D704BA" w:rsidRDefault="00D704BA" w:rsidP="00D704BA">
      <w:pPr>
        <w:widowControl w:val="0"/>
        <w:rPr>
          <w:rFonts w:ascii="Times New Roman" w:hAnsi="Times New Roman"/>
        </w:rPr>
      </w:pPr>
      <w:r w:rsidRPr="00D704BA">
        <w:rPr>
          <w:rFonts w:ascii="Times New Roman" w:hAnsi="Times New Roman"/>
        </w:rPr>
        <w:t>Conferma della “Beneficenza di Natale” e del “</w:t>
      </w:r>
      <w:proofErr w:type="gramStart"/>
      <w:r w:rsidRPr="00D704BA">
        <w:rPr>
          <w:rFonts w:ascii="Times New Roman" w:hAnsi="Times New Roman"/>
        </w:rPr>
        <w:t>Fondo  emergenza</w:t>
      </w:r>
      <w:proofErr w:type="gramEnd"/>
      <w:r w:rsidRPr="00D704BA">
        <w:rPr>
          <w:rFonts w:ascii="Times New Roman" w:hAnsi="Times New Roman"/>
        </w:rPr>
        <w:t xml:space="preserve"> </w:t>
      </w:r>
      <w:proofErr w:type="spellStart"/>
      <w:r w:rsidRPr="00D704BA">
        <w:rPr>
          <w:rFonts w:ascii="Times New Roman" w:hAnsi="Times New Roman"/>
        </w:rPr>
        <w:t>Coronovirus</w:t>
      </w:r>
      <w:proofErr w:type="spellEnd"/>
      <w:r w:rsidRPr="00D704BA">
        <w:rPr>
          <w:rFonts w:ascii="Times New Roman" w:hAnsi="Times New Roman"/>
        </w:rPr>
        <w:t>” iniziative  con la quale la Fondazione stanzia un plafond a favore di organismi religiosi e associazioni di volontariato, per assistere persone fisiche  svantaggiate.</w:t>
      </w:r>
    </w:p>
    <w:p w:rsidR="00D704BA" w:rsidRPr="00D704BA" w:rsidRDefault="00D704BA" w:rsidP="00D704BA">
      <w:pPr>
        <w:rPr>
          <w:rFonts w:ascii="Times New Roman" w:hAnsi="Times New Roman"/>
          <w:b/>
          <w:bCs/>
        </w:rPr>
      </w:pPr>
    </w:p>
    <w:p w:rsidR="004B2445" w:rsidRPr="000E412C" w:rsidRDefault="004B2445" w:rsidP="00D76D3D">
      <w:pPr>
        <w:rPr>
          <w:rFonts w:asciiTheme="minorHAnsi" w:hAnsiTheme="minorHAnsi"/>
        </w:rPr>
      </w:pPr>
    </w:p>
    <w:p w:rsidR="00427C2A" w:rsidRPr="001B7F63" w:rsidRDefault="00F9491C" w:rsidP="005B74FD">
      <w:pPr>
        <w:pStyle w:val="Paragrafoelenco"/>
        <w:numPr>
          <w:ilvl w:val="0"/>
          <w:numId w:val="26"/>
        </w:numPr>
        <w:ind w:left="426" w:hanging="426"/>
        <w:rPr>
          <w:rFonts w:ascii="Times New Roman" w:hAnsi="Times New Roman"/>
          <w:b/>
          <w:sz w:val="24"/>
          <w:szCs w:val="24"/>
        </w:rPr>
      </w:pPr>
      <w:r w:rsidRPr="001B7F63">
        <w:rPr>
          <w:rFonts w:ascii="Times New Roman" w:hAnsi="Times New Roman"/>
          <w:b/>
          <w:sz w:val="24"/>
          <w:szCs w:val="24"/>
        </w:rPr>
        <w:t xml:space="preserve">Progetti di terzi </w:t>
      </w:r>
    </w:p>
    <w:p w:rsidR="00427C2A" w:rsidRPr="00DC0194" w:rsidRDefault="00427C2A" w:rsidP="009112F3">
      <w:pPr>
        <w:rPr>
          <w:rFonts w:ascii="Times New Roman" w:hAnsi="Times New Roman"/>
          <w:iCs/>
          <w:szCs w:val="24"/>
          <w:u w:val="single"/>
        </w:rPr>
      </w:pPr>
      <w:r w:rsidRPr="00DC0194">
        <w:rPr>
          <w:rFonts w:ascii="Times New Roman" w:hAnsi="Times New Roman"/>
          <w:iCs/>
          <w:szCs w:val="24"/>
          <w:u w:val="single"/>
        </w:rPr>
        <w:t>Arte, attività e beni culturali</w:t>
      </w:r>
    </w:p>
    <w:p w:rsidR="00675AD0" w:rsidRPr="00DC0194" w:rsidRDefault="00427C2A" w:rsidP="00406195">
      <w:pPr>
        <w:rPr>
          <w:rFonts w:ascii="Times New Roman" w:hAnsi="Times New Roman"/>
          <w:szCs w:val="24"/>
        </w:rPr>
      </w:pPr>
      <w:r w:rsidRPr="00DC0194">
        <w:rPr>
          <w:rFonts w:ascii="Times New Roman" w:hAnsi="Times New Roman"/>
          <w:szCs w:val="24"/>
        </w:rPr>
        <w:t xml:space="preserve">Gli </w:t>
      </w:r>
      <w:r w:rsidR="00F9491C" w:rsidRPr="00DC0194">
        <w:rPr>
          <w:rFonts w:ascii="Times New Roman" w:hAnsi="Times New Roman"/>
          <w:szCs w:val="24"/>
        </w:rPr>
        <w:t xml:space="preserve"> </w:t>
      </w:r>
      <w:r w:rsidR="00675AD0" w:rsidRPr="00DC0194">
        <w:rPr>
          <w:rFonts w:ascii="Times New Roman" w:hAnsi="Times New Roman"/>
          <w:szCs w:val="24"/>
        </w:rPr>
        <w:t xml:space="preserve"> interventi potranno riguardare:</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il sostegno e promozione per pubblicazioni e mostre per la divulgazione di aspe</w:t>
      </w:r>
      <w:r w:rsidR="005B74FD" w:rsidRPr="00DC0194">
        <w:rPr>
          <w:rFonts w:ascii="Times New Roman" w:hAnsi="Times New Roman"/>
          <w:sz w:val="24"/>
          <w:szCs w:val="24"/>
        </w:rPr>
        <w:t>tti peculiari della nostra area e</w:t>
      </w:r>
      <w:r w:rsidRPr="00DC0194">
        <w:rPr>
          <w:rFonts w:ascii="Times New Roman" w:hAnsi="Times New Roman"/>
          <w:sz w:val="24"/>
          <w:szCs w:val="24"/>
        </w:rPr>
        <w:t xml:space="preserve"> per </w:t>
      </w:r>
      <w:proofErr w:type="gramStart"/>
      <w:r w:rsidRPr="00DC0194">
        <w:rPr>
          <w:rFonts w:ascii="Times New Roman" w:hAnsi="Times New Roman"/>
          <w:sz w:val="24"/>
          <w:szCs w:val="24"/>
        </w:rPr>
        <w:t>iniziative  di</w:t>
      </w:r>
      <w:proofErr w:type="gramEnd"/>
      <w:r w:rsidRPr="00DC0194">
        <w:rPr>
          <w:rFonts w:ascii="Times New Roman" w:hAnsi="Times New Roman"/>
          <w:sz w:val="24"/>
          <w:szCs w:val="24"/>
        </w:rPr>
        <w:t xml:space="preserve"> documentazione del territorio;</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interventi conservativi e di valorizzazione su opere d’arte in complessi monumentali e museali accessibili al pubblico;</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 xml:space="preserve">l’archeologia negli aspetti della </w:t>
      </w:r>
      <w:proofErr w:type="gramStart"/>
      <w:r w:rsidRPr="00DC0194">
        <w:rPr>
          <w:rFonts w:ascii="Times New Roman" w:hAnsi="Times New Roman"/>
          <w:sz w:val="24"/>
          <w:szCs w:val="24"/>
        </w:rPr>
        <w:t>ricerca ,</w:t>
      </w:r>
      <w:proofErr w:type="gramEnd"/>
      <w:r w:rsidRPr="00DC0194">
        <w:rPr>
          <w:rFonts w:ascii="Times New Roman" w:hAnsi="Times New Roman"/>
          <w:sz w:val="24"/>
          <w:szCs w:val="24"/>
        </w:rPr>
        <w:t xml:space="preserve"> del restauro e della valorizzazione, favorendo in modo particolare i progetti mirati che garantiscano  anche il pubblico godimento dei materiali;</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la valorizzazione dei percorsi culturali del territorio;</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 xml:space="preserve">le biblioteche e archivi dando la priorità alla sicurezza dei </w:t>
      </w:r>
      <w:proofErr w:type="gramStart"/>
      <w:r w:rsidRPr="00DC0194">
        <w:rPr>
          <w:rFonts w:ascii="Times New Roman" w:hAnsi="Times New Roman"/>
          <w:sz w:val="24"/>
          <w:szCs w:val="24"/>
        </w:rPr>
        <w:t>materiali  al</w:t>
      </w:r>
      <w:proofErr w:type="gramEnd"/>
      <w:r w:rsidRPr="00DC0194">
        <w:rPr>
          <w:rFonts w:ascii="Times New Roman" w:hAnsi="Times New Roman"/>
          <w:sz w:val="24"/>
          <w:szCs w:val="24"/>
        </w:rPr>
        <w:t xml:space="preserve"> loro agevole accesso ed alla migliore fruibilità;</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 xml:space="preserve">le </w:t>
      </w:r>
      <w:proofErr w:type="gramStart"/>
      <w:r w:rsidRPr="00DC0194">
        <w:rPr>
          <w:rFonts w:ascii="Times New Roman" w:hAnsi="Times New Roman"/>
          <w:sz w:val="24"/>
          <w:szCs w:val="24"/>
        </w:rPr>
        <w:t>iniziative,  mostre</w:t>
      </w:r>
      <w:proofErr w:type="gramEnd"/>
      <w:r w:rsidRPr="00DC0194">
        <w:rPr>
          <w:rFonts w:ascii="Times New Roman" w:hAnsi="Times New Roman"/>
          <w:sz w:val="24"/>
          <w:szCs w:val="24"/>
        </w:rPr>
        <w:t xml:space="preserve">,  convegni,  attività didattiche, ecc.. finalizzate all’arricchimento </w:t>
      </w:r>
      <w:proofErr w:type="gramStart"/>
      <w:r w:rsidRPr="00DC0194">
        <w:rPr>
          <w:rFonts w:ascii="Times New Roman" w:hAnsi="Times New Roman"/>
          <w:sz w:val="24"/>
          <w:szCs w:val="24"/>
        </w:rPr>
        <w:t>culturale ,</w:t>
      </w:r>
      <w:proofErr w:type="gramEnd"/>
      <w:r w:rsidRPr="00DC0194">
        <w:rPr>
          <w:rFonts w:ascii="Times New Roman" w:hAnsi="Times New Roman"/>
          <w:sz w:val="24"/>
          <w:szCs w:val="24"/>
        </w:rPr>
        <w:t xml:space="preserve"> con particolare attenzione  a quelle rivolte alla conoscenza , al recupero e alla valorizzazione del patrimonio culturale e ambientale locale;</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 xml:space="preserve">l’eventuale acquisizione di opere di particolare importanza e </w:t>
      </w:r>
      <w:proofErr w:type="gramStart"/>
      <w:r w:rsidRPr="00DC0194">
        <w:rPr>
          <w:rFonts w:ascii="Times New Roman" w:hAnsi="Times New Roman"/>
          <w:sz w:val="24"/>
          <w:szCs w:val="24"/>
        </w:rPr>
        <w:t>significato  artistico</w:t>
      </w:r>
      <w:proofErr w:type="gramEnd"/>
      <w:r w:rsidRPr="00DC0194">
        <w:rPr>
          <w:rFonts w:ascii="Times New Roman" w:hAnsi="Times New Roman"/>
          <w:sz w:val="24"/>
          <w:szCs w:val="24"/>
        </w:rPr>
        <w:t xml:space="preserve"> e culturale della realtà locale;</w:t>
      </w:r>
    </w:p>
    <w:p w:rsidR="00675AD0" w:rsidRPr="00DC0194" w:rsidRDefault="00675AD0" w:rsidP="00406195">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 xml:space="preserve">la musica e </w:t>
      </w:r>
      <w:proofErr w:type="gramStart"/>
      <w:r w:rsidRPr="00DC0194">
        <w:rPr>
          <w:rFonts w:ascii="Times New Roman" w:hAnsi="Times New Roman"/>
          <w:sz w:val="24"/>
          <w:szCs w:val="24"/>
        </w:rPr>
        <w:t>l’ attività</w:t>
      </w:r>
      <w:proofErr w:type="gramEnd"/>
      <w:r w:rsidRPr="00DC0194">
        <w:rPr>
          <w:rFonts w:ascii="Times New Roman" w:hAnsi="Times New Roman"/>
          <w:sz w:val="24"/>
          <w:szCs w:val="24"/>
        </w:rPr>
        <w:t xml:space="preserve"> teatrale , nei loro aspetti conoscitivi, di conservazione e di educazione;</w:t>
      </w:r>
    </w:p>
    <w:p w:rsidR="00427C2A" w:rsidRPr="00DC0194" w:rsidRDefault="00675AD0" w:rsidP="00065527">
      <w:pPr>
        <w:pStyle w:val="Paragrafoelenco"/>
        <w:numPr>
          <w:ilvl w:val="0"/>
          <w:numId w:val="6"/>
        </w:numPr>
        <w:spacing w:line="240" w:lineRule="auto"/>
        <w:ind w:hanging="436"/>
        <w:jc w:val="both"/>
        <w:rPr>
          <w:rFonts w:ascii="Times New Roman" w:hAnsi="Times New Roman"/>
          <w:sz w:val="24"/>
          <w:szCs w:val="24"/>
        </w:rPr>
      </w:pPr>
      <w:r w:rsidRPr="00DC0194">
        <w:rPr>
          <w:rFonts w:ascii="Times New Roman" w:hAnsi="Times New Roman"/>
          <w:sz w:val="24"/>
          <w:szCs w:val="24"/>
        </w:rPr>
        <w:t>l’attività editoriale di elevato livello culturale, con particolare attenzione alla valorizzazione del patrimonio artistico, culturale e ambientale locale.</w:t>
      </w:r>
    </w:p>
    <w:p w:rsidR="0081175F" w:rsidRPr="00DC0194" w:rsidRDefault="0081175F" w:rsidP="0081175F">
      <w:pPr>
        <w:pStyle w:val="Paragrafoelenco"/>
        <w:spacing w:line="240" w:lineRule="auto"/>
        <w:jc w:val="both"/>
        <w:rPr>
          <w:rFonts w:ascii="Times New Roman" w:hAnsi="Times New Roman"/>
          <w:sz w:val="24"/>
          <w:szCs w:val="24"/>
        </w:rPr>
      </w:pPr>
    </w:p>
    <w:p w:rsidR="00E16F7F" w:rsidRPr="00D41AF1" w:rsidRDefault="00E16F7F" w:rsidP="00D41AF1">
      <w:pPr>
        <w:rPr>
          <w:rFonts w:asciiTheme="minorHAnsi" w:hAnsiTheme="minorHAnsi"/>
          <w:szCs w:val="24"/>
        </w:rPr>
      </w:pPr>
    </w:p>
    <w:p w:rsidR="00675AD0" w:rsidRPr="001B7F63" w:rsidRDefault="00675AD0" w:rsidP="00675AD0">
      <w:pPr>
        <w:pStyle w:val="Delibera"/>
        <w:tabs>
          <w:tab w:val="left" w:pos="708"/>
        </w:tabs>
        <w:spacing w:line="240" w:lineRule="auto"/>
        <w:rPr>
          <w:iCs/>
          <w:szCs w:val="24"/>
          <w:u w:val="single"/>
        </w:rPr>
      </w:pPr>
      <w:r w:rsidRPr="001B7F63">
        <w:rPr>
          <w:iCs/>
          <w:szCs w:val="24"/>
          <w:u w:val="single"/>
        </w:rPr>
        <w:t xml:space="preserve">Educazione, istruzione e formazione, incluso l’acquisto di prodotti editoriali per la scuola </w:t>
      </w:r>
    </w:p>
    <w:p w:rsidR="00675AD0" w:rsidRPr="001B7F63" w:rsidRDefault="00675AD0" w:rsidP="00675AD0">
      <w:pPr>
        <w:pStyle w:val="Corpodeltesto3"/>
        <w:spacing w:line="240" w:lineRule="auto"/>
        <w:jc w:val="both"/>
        <w:rPr>
          <w:sz w:val="24"/>
        </w:rPr>
      </w:pPr>
      <w:r w:rsidRPr="001B7F63">
        <w:rPr>
          <w:sz w:val="24"/>
        </w:rPr>
        <w:t xml:space="preserve">I programmi della Fondazione in questa area di intervento proseguono secondo le </w:t>
      </w:r>
      <w:proofErr w:type="gramStart"/>
      <w:r w:rsidRPr="001B7F63">
        <w:rPr>
          <w:sz w:val="24"/>
        </w:rPr>
        <w:t>linee  già</w:t>
      </w:r>
      <w:proofErr w:type="gramEnd"/>
      <w:r w:rsidRPr="001B7F63">
        <w:rPr>
          <w:sz w:val="24"/>
        </w:rPr>
        <w:t xml:space="preserve"> tracciate nei precedenti esercizi,   nella convinzione   dell’importanza e della centralità che riveste  l’istruzione e la formazione nell’educazione, nella crescita personale, nello sviluppo economico e nel miglioramento della qualità della vita della comunità. </w:t>
      </w:r>
    </w:p>
    <w:p w:rsidR="00675AD0" w:rsidRPr="001B7F63" w:rsidRDefault="00427C2A" w:rsidP="00675AD0">
      <w:pPr>
        <w:rPr>
          <w:rFonts w:ascii="Times New Roman" w:hAnsi="Times New Roman"/>
          <w:szCs w:val="24"/>
        </w:rPr>
      </w:pPr>
      <w:r w:rsidRPr="00DC0194">
        <w:rPr>
          <w:rFonts w:ascii="Times New Roman" w:hAnsi="Times New Roman"/>
          <w:szCs w:val="24"/>
        </w:rPr>
        <w:t>In tale ambito riveste una particol</w:t>
      </w:r>
      <w:r w:rsidR="00661297" w:rsidRPr="00DC0194">
        <w:rPr>
          <w:rFonts w:ascii="Times New Roman" w:hAnsi="Times New Roman"/>
          <w:szCs w:val="24"/>
        </w:rPr>
        <w:t>a</w:t>
      </w:r>
      <w:r w:rsidRPr="00DC0194">
        <w:rPr>
          <w:rFonts w:ascii="Times New Roman" w:hAnsi="Times New Roman"/>
          <w:szCs w:val="24"/>
        </w:rPr>
        <w:t>re</w:t>
      </w:r>
      <w:r w:rsidR="00661297" w:rsidRPr="00DC0194">
        <w:rPr>
          <w:rFonts w:ascii="Times New Roman" w:hAnsi="Times New Roman"/>
          <w:szCs w:val="24"/>
        </w:rPr>
        <w:t xml:space="preserve"> </w:t>
      </w:r>
      <w:proofErr w:type="gramStart"/>
      <w:r w:rsidR="00661297" w:rsidRPr="00DC0194">
        <w:rPr>
          <w:rFonts w:ascii="Times New Roman" w:hAnsi="Times New Roman"/>
          <w:szCs w:val="24"/>
        </w:rPr>
        <w:t xml:space="preserve">significato </w:t>
      </w:r>
      <w:r w:rsidRPr="00DC0194">
        <w:rPr>
          <w:rFonts w:ascii="Times New Roman" w:hAnsi="Times New Roman"/>
          <w:szCs w:val="24"/>
        </w:rPr>
        <w:t xml:space="preserve"> </w:t>
      </w:r>
      <w:r w:rsidR="00675AD0" w:rsidRPr="00DC0194">
        <w:rPr>
          <w:rFonts w:ascii="Times New Roman" w:hAnsi="Times New Roman"/>
          <w:szCs w:val="24"/>
        </w:rPr>
        <w:t>il</w:t>
      </w:r>
      <w:proofErr w:type="gramEnd"/>
      <w:r w:rsidR="00675AD0" w:rsidRPr="00DC0194">
        <w:rPr>
          <w:rFonts w:ascii="Times New Roman" w:hAnsi="Times New Roman"/>
          <w:szCs w:val="24"/>
        </w:rPr>
        <w:t xml:space="preserve"> contributo </w:t>
      </w:r>
      <w:r w:rsidR="00661297" w:rsidRPr="00DC0194">
        <w:rPr>
          <w:rFonts w:ascii="Times New Roman" w:hAnsi="Times New Roman"/>
          <w:szCs w:val="24"/>
        </w:rPr>
        <w:t xml:space="preserve">assicurato  ad </w:t>
      </w:r>
      <w:r w:rsidR="00675AD0" w:rsidRPr="00DC0194">
        <w:rPr>
          <w:rFonts w:ascii="Times New Roman" w:hAnsi="Times New Roman"/>
          <w:szCs w:val="24"/>
        </w:rPr>
        <w:t xml:space="preserve"> interventi per l’offerta formativa  dell’Univ</w:t>
      </w:r>
      <w:r w:rsidRPr="00DC0194">
        <w:rPr>
          <w:rFonts w:ascii="Times New Roman" w:hAnsi="Times New Roman"/>
          <w:szCs w:val="24"/>
        </w:rPr>
        <w:t>ersità degli studi della Tuscia</w:t>
      </w:r>
      <w:r w:rsidR="000C43BC" w:rsidRPr="00DC0194">
        <w:rPr>
          <w:rFonts w:ascii="Times New Roman" w:hAnsi="Times New Roman"/>
          <w:szCs w:val="24"/>
        </w:rPr>
        <w:t>, sulla base del Protocollo di intesa fra Fondazio</w:t>
      </w:r>
      <w:r w:rsidR="00313ABE" w:rsidRPr="00DC0194">
        <w:rPr>
          <w:rFonts w:ascii="Times New Roman" w:hAnsi="Times New Roman"/>
          <w:szCs w:val="24"/>
        </w:rPr>
        <w:t xml:space="preserve">ne e Università siglato </w:t>
      </w:r>
      <w:r w:rsidR="00241025" w:rsidRPr="00DC0194">
        <w:rPr>
          <w:rFonts w:ascii="Times New Roman" w:hAnsi="Times New Roman"/>
          <w:szCs w:val="24"/>
        </w:rPr>
        <w:t>l</w:t>
      </w:r>
      <w:r w:rsidR="00313ABE" w:rsidRPr="00DC0194">
        <w:rPr>
          <w:rFonts w:ascii="Times New Roman" w:hAnsi="Times New Roman"/>
          <w:szCs w:val="24"/>
        </w:rPr>
        <w:t>’</w:t>
      </w:r>
      <w:r w:rsidR="00241025" w:rsidRPr="00DC0194">
        <w:rPr>
          <w:rFonts w:ascii="Times New Roman" w:hAnsi="Times New Roman"/>
          <w:szCs w:val="24"/>
        </w:rPr>
        <w:t xml:space="preserve"> </w:t>
      </w:r>
      <w:r w:rsidR="00954B6A" w:rsidRPr="00DC0194">
        <w:rPr>
          <w:rFonts w:ascii="Times New Roman" w:hAnsi="Times New Roman"/>
          <w:szCs w:val="24"/>
        </w:rPr>
        <w:t>8 aprile 2014</w:t>
      </w:r>
      <w:r w:rsidR="00DC0194" w:rsidRPr="00DC0194">
        <w:rPr>
          <w:rFonts w:ascii="Times New Roman" w:hAnsi="Times New Roman"/>
          <w:szCs w:val="24"/>
        </w:rPr>
        <w:t xml:space="preserve"> con il </w:t>
      </w:r>
      <w:r w:rsidR="00DC0194" w:rsidRPr="00DC0194">
        <w:rPr>
          <w:rFonts w:ascii="Times New Roman" w:hAnsi="Times New Roman"/>
        </w:rPr>
        <w:t xml:space="preserve">sostegno </w:t>
      </w:r>
      <w:r w:rsidR="00DC0194" w:rsidRPr="00DC0194">
        <w:rPr>
          <w:rFonts w:ascii="Times New Roman" w:hAnsi="Times New Roman"/>
          <w:color w:val="000000"/>
          <w:lang w:eastAsia="en-US"/>
        </w:rPr>
        <w:t>all’istituzione  di dottorati di ricerca presso i</w:t>
      </w:r>
      <w:r w:rsidR="00A910B5">
        <w:rPr>
          <w:rFonts w:ascii="Times New Roman" w:hAnsi="Times New Roman"/>
          <w:color w:val="000000"/>
          <w:lang w:eastAsia="en-US"/>
        </w:rPr>
        <w:t>l dipartimento</w:t>
      </w:r>
      <w:r w:rsidR="00DC0194" w:rsidRPr="00DC0194">
        <w:rPr>
          <w:rFonts w:ascii="Times New Roman" w:hAnsi="Times New Roman"/>
          <w:color w:val="000000"/>
          <w:lang w:eastAsia="en-US"/>
        </w:rPr>
        <w:t xml:space="preserve">    </w:t>
      </w:r>
      <w:r w:rsidR="00A910B5">
        <w:rPr>
          <w:rFonts w:ascii="Times New Roman" w:hAnsi="Times New Roman"/>
          <w:color w:val="000000"/>
          <w:lang w:eastAsia="en-US"/>
        </w:rPr>
        <w:t xml:space="preserve">DISTU </w:t>
      </w:r>
      <w:r w:rsidR="00DC0194" w:rsidRPr="00DC0194">
        <w:rPr>
          <w:rFonts w:ascii="Times New Roman" w:hAnsi="Times New Roman"/>
          <w:color w:val="000000"/>
          <w:lang w:eastAsia="en-US"/>
        </w:rPr>
        <w:t>dell’</w:t>
      </w:r>
      <w:r w:rsidR="00DC0194" w:rsidRPr="00DC0194">
        <w:rPr>
          <w:rFonts w:ascii="Times New Roman" w:hAnsi="Times New Roman"/>
        </w:rPr>
        <w:t xml:space="preserve">Università degli Studi della </w:t>
      </w:r>
      <w:r w:rsidR="00DC0194" w:rsidRPr="001B7F63">
        <w:rPr>
          <w:rFonts w:ascii="Times New Roman" w:hAnsi="Times New Roman"/>
        </w:rPr>
        <w:t>Tuscia</w:t>
      </w:r>
    </w:p>
    <w:p w:rsidR="00DC0194" w:rsidRPr="001B7F63" w:rsidRDefault="00DC0194" w:rsidP="00DF7615">
      <w:pPr>
        <w:rPr>
          <w:rFonts w:ascii="Times New Roman" w:hAnsi="Times New Roman"/>
          <w:szCs w:val="24"/>
        </w:rPr>
      </w:pPr>
    </w:p>
    <w:p w:rsidR="00DC0194" w:rsidRPr="001B7F63" w:rsidRDefault="00BA7494" w:rsidP="00DC0194">
      <w:pPr>
        <w:rPr>
          <w:rFonts w:ascii="Times New Roman" w:hAnsi="Times New Roman"/>
        </w:rPr>
      </w:pPr>
      <w:r w:rsidRPr="001B7F63">
        <w:rPr>
          <w:rFonts w:ascii="Times New Roman" w:hAnsi="Times New Roman"/>
          <w:szCs w:val="24"/>
        </w:rPr>
        <w:t xml:space="preserve">La Fondazione inoltre </w:t>
      </w:r>
      <w:proofErr w:type="gramStart"/>
      <w:r w:rsidRPr="001B7F63">
        <w:rPr>
          <w:rFonts w:ascii="Times New Roman" w:hAnsi="Times New Roman"/>
          <w:szCs w:val="24"/>
        </w:rPr>
        <w:t>proseguirà  l’attività</w:t>
      </w:r>
      <w:proofErr w:type="gramEnd"/>
      <w:r w:rsidRPr="001B7F63">
        <w:rPr>
          <w:rFonts w:ascii="Times New Roman" w:hAnsi="Times New Roman"/>
          <w:szCs w:val="24"/>
        </w:rPr>
        <w:t xml:space="preserve">   di ascolto e confronto diretto e collaborativo con le scuole al fine di  </w:t>
      </w:r>
      <w:r w:rsidRPr="001B7F63">
        <w:rPr>
          <w:rFonts w:ascii="Times New Roman" w:eastAsiaTheme="minorHAnsi" w:hAnsi="Times New Roman"/>
          <w:color w:val="000000"/>
          <w:szCs w:val="24"/>
          <w:lang w:eastAsia="en-US"/>
        </w:rPr>
        <w:t xml:space="preserve"> condividere priorità e linee di intervento, per la formazione e lo sviluppo educativo degli studenti </w:t>
      </w:r>
      <w:r w:rsidRPr="001B7F63">
        <w:rPr>
          <w:rFonts w:ascii="Times New Roman" w:hAnsi="Times New Roman"/>
        </w:rPr>
        <w:t>ma anche per  progetti di innovazione  che includano nuove modalità di insegnamento mediante  dotazioni tecnologicamente adeguate  da mettere a disposizione dei ragazzi</w:t>
      </w:r>
      <w:r w:rsidR="00DC0194" w:rsidRPr="001B7F63">
        <w:rPr>
          <w:rFonts w:ascii="Times New Roman" w:hAnsi="Times New Roman"/>
          <w:szCs w:val="24"/>
          <w:shd w:val="clear" w:color="auto" w:fill="FFFFFF"/>
        </w:rPr>
        <w:t>.</w:t>
      </w:r>
    </w:p>
    <w:p w:rsidR="002F28D9" w:rsidRDefault="002F28D9" w:rsidP="00675AD0">
      <w:pPr>
        <w:rPr>
          <w:rFonts w:ascii="Times New Roman" w:hAnsi="Times New Roman"/>
          <w:szCs w:val="24"/>
          <w:shd w:val="clear" w:color="auto" w:fill="FFFFFF"/>
        </w:rPr>
      </w:pPr>
    </w:p>
    <w:p w:rsidR="00B67B81" w:rsidRDefault="00B67B81" w:rsidP="00675AD0">
      <w:pPr>
        <w:rPr>
          <w:rFonts w:asciiTheme="minorHAnsi" w:hAnsiTheme="minorHAnsi"/>
          <w:b/>
          <w:szCs w:val="24"/>
          <w:u w:val="single"/>
        </w:rPr>
      </w:pPr>
    </w:p>
    <w:p w:rsidR="00EE3227" w:rsidRDefault="00EE3227" w:rsidP="00675AD0">
      <w:pPr>
        <w:rPr>
          <w:rFonts w:asciiTheme="minorHAnsi" w:hAnsiTheme="minorHAnsi"/>
          <w:b/>
          <w:szCs w:val="24"/>
          <w:u w:val="single"/>
        </w:rPr>
      </w:pPr>
    </w:p>
    <w:p w:rsidR="00EE3227" w:rsidRPr="000E412C" w:rsidRDefault="00EE3227" w:rsidP="00675AD0">
      <w:pPr>
        <w:rPr>
          <w:rFonts w:asciiTheme="minorHAnsi" w:hAnsiTheme="minorHAnsi"/>
          <w:b/>
          <w:szCs w:val="24"/>
          <w:u w:val="single"/>
        </w:rPr>
      </w:pPr>
    </w:p>
    <w:p w:rsidR="00675AD0" w:rsidRPr="00BA7494" w:rsidRDefault="00675AD0" w:rsidP="00675AD0">
      <w:pPr>
        <w:rPr>
          <w:rFonts w:ascii="Times New Roman" w:hAnsi="Times New Roman"/>
          <w:szCs w:val="24"/>
          <w:u w:val="single"/>
        </w:rPr>
      </w:pPr>
      <w:r w:rsidRPr="00BA7494">
        <w:rPr>
          <w:rFonts w:ascii="Times New Roman" w:hAnsi="Times New Roman"/>
          <w:szCs w:val="24"/>
          <w:u w:val="single"/>
        </w:rPr>
        <w:t>Salute pubblica medicina preventiva e riabilitativa</w:t>
      </w:r>
    </w:p>
    <w:p w:rsidR="00675AD0" w:rsidRPr="00D952AD" w:rsidRDefault="00661297" w:rsidP="00675AD0">
      <w:pPr>
        <w:rPr>
          <w:rFonts w:ascii="Times New Roman" w:hAnsi="Times New Roman"/>
          <w:szCs w:val="24"/>
        </w:rPr>
      </w:pPr>
      <w:r w:rsidRPr="00D952AD">
        <w:rPr>
          <w:rFonts w:ascii="Times New Roman" w:hAnsi="Times New Roman"/>
          <w:szCs w:val="24"/>
        </w:rPr>
        <w:t xml:space="preserve">In </w:t>
      </w:r>
      <w:proofErr w:type="gramStart"/>
      <w:r w:rsidRPr="00D952AD">
        <w:rPr>
          <w:rFonts w:ascii="Times New Roman" w:hAnsi="Times New Roman"/>
          <w:szCs w:val="24"/>
        </w:rPr>
        <w:t xml:space="preserve">questo </w:t>
      </w:r>
      <w:r w:rsidR="00675AD0" w:rsidRPr="00D952AD">
        <w:rPr>
          <w:rFonts w:ascii="Times New Roman" w:hAnsi="Times New Roman"/>
          <w:szCs w:val="24"/>
        </w:rPr>
        <w:t xml:space="preserve"> settore</w:t>
      </w:r>
      <w:proofErr w:type="gramEnd"/>
      <w:r w:rsidRPr="00D952AD">
        <w:rPr>
          <w:rFonts w:ascii="Times New Roman" w:hAnsi="Times New Roman"/>
          <w:szCs w:val="24"/>
        </w:rPr>
        <w:t xml:space="preserve"> gli </w:t>
      </w:r>
      <w:r w:rsidR="00675AD0" w:rsidRPr="00D952AD">
        <w:rPr>
          <w:rFonts w:ascii="Times New Roman" w:hAnsi="Times New Roman"/>
          <w:szCs w:val="24"/>
        </w:rPr>
        <w:t xml:space="preserve"> interventi </w:t>
      </w:r>
      <w:r w:rsidRPr="00D952AD">
        <w:rPr>
          <w:rFonts w:ascii="Times New Roman" w:hAnsi="Times New Roman"/>
          <w:szCs w:val="24"/>
        </w:rPr>
        <w:t xml:space="preserve">potranno indirizzarsi  secondo le precedenti esperienze ormai consolidate </w:t>
      </w:r>
      <w:r w:rsidR="00675AD0" w:rsidRPr="00D952AD">
        <w:rPr>
          <w:rFonts w:ascii="Times New Roman" w:hAnsi="Times New Roman"/>
          <w:szCs w:val="24"/>
        </w:rPr>
        <w:t xml:space="preserve">al miglioramento dell’efficienza e della qualità della struttura ospedaliera del capoluogo nonché delle prestazioni dei servizi sanitari. Particolare </w:t>
      </w:r>
      <w:proofErr w:type="gramStart"/>
      <w:r w:rsidR="00675AD0" w:rsidRPr="00D952AD">
        <w:rPr>
          <w:rFonts w:ascii="Times New Roman" w:hAnsi="Times New Roman"/>
          <w:szCs w:val="24"/>
        </w:rPr>
        <w:t>attenzione  verrà</w:t>
      </w:r>
      <w:proofErr w:type="gramEnd"/>
      <w:r w:rsidR="00675AD0" w:rsidRPr="00D952AD">
        <w:rPr>
          <w:rFonts w:ascii="Times New Roman" w:hAnsi="Times New Roman"/>
          <w:szCs w:val="24"/>
        </w:rPr>
        <w:t xml:space="preserve"> mantenuta per interventi mirati che potranno venire indirizzati a rendere più funzionali le attività di difesa della salute pubblica nel territorio anche mediante l’acquisto di macchinari e materiali, seguendo direttamente i rapporti con le ditte fornitrici con l’obiettivo di ottenere condizioni economiche più vantaggiose.</w:t>
      </w:r>
      <w:r w:rsidR="00D952AD" w:rsidRPr="00D952AD">
        <w:rPr>
          <w:rFonts w:ascii="Times New Roman" w:hAnsi="Times New Roman"/>
          <w:szCs w:val="24"/>
        </w:rPr>
        <w:t xml:space="preserve"> Si </w:t>
      </w:r>
      <w:proofErr w:type="gramStart"/>
      <w:r w:rsidR="00D952AD" w:rsidRPr="00D952AD">
        <w:rPr>
          <w:rFonts w:ascii="Times New Roman" w:hAnsi="Times New Roman"/>
          <w:szCs w:val="24"/>
        </w:rPr>
        <w:t>prevede</w:t>
      </w:r>
      <w:r w:rsidR="00D952AD" w:rsidRPr="00D952AD">
        <w:rPr>
          <w:rFonts w:ascii="Times New Roman" w:hAnsi="Times New Roman"/>
        </w:rPr>
        <w:t xml:space="preserve"> ,</w:t>
      </w:r>
      <w:proofErr w:type="gramEnd"/>
      <w:r w:rsidR="00D952AD" w:rsidRPr="00D952AD">
        <w:rPr>
          <w:rFonts w:ascii="Times New Roman" w:hAnsi="Times New Roman"/>
        </w:rPr>
        <w:t xml:space="preserve"> in collaborazione con il Consorzio delle Biblioteche di Viterbo, la realizzazione  di un apposito   centro di lettura</w:t>
      </w:r>
      <w:r w:rsidR="00D952AD" w:rsidRPr="00D952AD">
        <w:rPr>
          <w:rFonts w:ascii="Times New Roman" w:hAnsi="Times New Roman"/>
          <w:szCs w:val="24"/>
        </w:rPr>
        <w:t xml:space="preserve"> dedicato al reparto di Pediatria dell’Ospedale </w:t>
      </w:r>
      <w:proofErr w:type="spellStart"/>
      <w:r w:rsidR="00D952AD" w:rsidRPr="00D952AD">
        <w:rPr>
          <w:rFonts w:ascii="Times New Roman" w:hAnsi="Times New Roman"/>
          <w:szCs w:val="24"/>
        </w:rPr>
        <w:t>Belcolle</w:t>
      </w:r>
      <w:proofErr w:type="spellEnd"/>
      <w:r w:rsidR="00D952AD" w:rsidRPr="00D952AD">
        <w:rPr>
          <w:rFonts w:ascii="Times New Roman" w:hAnsi="Times New Roman"/>
          <w:szCs w:val="24"/>
        </w:rPr>
        <w:t xml:space="preserve"> di Viterbo</w:t>
      </w:r>
      <w:r w:rsidR="00EE3227">
        <w:rPr>
          <w:rFonts w:ascii="Times New Roman" w:hAnsi="Times New Roman"/>
          <w:szCs w:val="24"/>
        </w:rPr>
        <w:t>.</w:t>
      </w:r>
    </w:p>
    <w:p w:rsidR="00675AD0" w:rsidRPr="00BA7494" w:rsidRDefault="00675AD0" w:rsidP="00675AD0">
      <w:pPr>
        <w:pStyle w:val="Corpotesto"/>
        <w:rPr>
          <w:sz w:val="24"/>
          <w:lang w:val="it-IT"/>
        </w:rPr>
      </w:pPr>
    </w:p>
    <w:p w:rsidR="00675AD0" w:rsidRPr="00BA7494" w:rsidRDefault="00675AD0" w:rsidP="00675AD0">
      <w:pPr>
        <w:pStyle w:val="Titolo9"/>
        <w:spacing w:line="240" w:lineRule="auto"/>
        <w:rPr>
          <w:b w:val="0"/>
          <w:sz w:val="24"/>
        </w:rPr>
      </w:pPr>
      <w:r w:rsidRPr="00BA7494">
        <w:rPr>
          <w:b w:val="0"/>
          <w:sz w:val="24"/>
        </w:rPr>
        <w:t>Volontariato, filantropia e beneficenza</w:t>
      </w:r>
    </w:p>
    <w:p w:rsidR="00675AD0" w:rsidRPr="00BA7494" w:rsidRDefault="00675AD0" w:rsidP="00675AD0">
      <w:pPr>
        <w:rPr>
          <w:rFonts w:ascii="Times New Roman" w:hAnsi="Times New Roman"/>
          <w:szCs w:val="24"/>
        </w:rPr>
      </w:pPr>
      <w:r w:rsidRPr="00BA7494">
        <w:rPr>
          <w:rFonts w:ascii="Times New Roman" w:hAnsi="Times New Roman"/>
          <w:szCs w:val="24"/>
        </w:rPr>
        <w:t xml:space="preserve">In questo settore la Fondazione intende sostenere progetti volti a supportare </w:t>
      </w:r>
      <w:proofErr w:type="gramStart"/>
      <w:r w:rsidRPr="00BA7494">
        <w:rPr>
          <w:rFonts w:ascii="Times New Roman" w:hAnsi="Times New Roman"/>
          <w:szCs w:val="24"/>
        </w:rPr>
        <w:t>interventi  a</w:t>
      </w:r>
      <w:proofErr w:type="gramEnd"/>
      <w:r w:rsidRPr="00BA7494">
        <w:rPr>
          <w:rFonts w:ascii="Times New Roman" w:hAnsi="Times New Roman"/>
          <w:szCs w:val="24"/>
        </w:rPr>
        <w:t xml:space="preserve"> favore delle categorie sociali deboli del suo territorio. Le iniziative in linea di massima si rivolgeranno a tutti quei soggetti che a causa di problematiche differenti vivono una condizione di fragilità: anziani, diversamente abili, minori e giovani in difficoltà emarginati e persone a rischio. Verranno privilegiati </w:t>
      </w:r>
      <w:proofErr w:type="gramStart"/>
      <w:r w:rsidRPr="00BA7494">
        <w:rPr>
          <w:rFonts w:ascii="Times New Roman" w:hAnsi="Times New Roman"/>
          <w:szCs w:val="24"/>
        </w:rPr>
        <w:t>quegli  interventi</w:t>
      </w:r>
      <w:proofErr w:type="gramEnd"/>
      <w:r w:rsidRPr="00BA7494">
        <w:rPr>
          <w:rFonts w:ascii="Times New Roman" w:hAnsi="Times New Roman"/>
          <w:szCs w:val="24"/>
        </w:rPr>
        <w:t xml:space="preserve"> volti   a migliorare l’inserimento nel contesto sociale e lavorativo di soggetti con handicap e\o di soggetti in stato</w:t>
      </w:r>
      <w:r w:rsidR="00876839" w:rsidRPr="00BA7494">
        <w:rPr>
          <w:rFonts w:ascii="Times New Roman" w:hAnsi="Times New Roman"/>
          <w:szCs w:val="24"/>
        </w:rPr>
        <w:t xml:space="preserve"> di disagio,  in particolare con</w:t>
      </w:r>
      <w:r w:rsidRPr="00BA7494">
        <w:rPr>
          <w:rFonts w:ascii="Times New Roman" w:hAnsi="Times New Roman"/>
          <w:szCs w:val="24"/>
        </w:rPr>
        <w:t xml:space="preserve">  indirizzi di inter</w:t>
      </w:r>
      <w:r w:rsidR="00876839" w:rsidRPr="00BA7494">
        <w:rPr>
          <w:rFonts w:ascii="Times New Roman" w:hAnsi="Times New Roman"/>
          <w:szCs w:val="24"/>
        </w:rPr>
        <w:t>vento volti a compensare le dise</w:t>
      </w:r>
      <w:r w:rsidRPr="00BA7494">
        <w:rPr>
          <w:rFonts w:ascii="Times New Roman" w:hAnsi="Times New Roman"/>
          <w:szCs w:val="24"/>
        </w:rPr>
        <w:t>guaglianze sociali che possono ostacolare la libertà di scelta dei soggetti.</w:t>
      </w:r>
    </w:p>
    <w:p w:rsidR="001B7F63" w:rsidRDefault="001B7F63" w:rsidP="001B7F63">
      <w:pPr>
        <w:pStyle w:val="Delibera"/>
        <w:widowControl/>
        <w:tabs>
          <w:tab w:val="clear" w:pos="567"/>
        </w:tabs>
        <w:overflowPunct/>
        <w:autoSpaceDE/>
        <w:adjustRightInd/>
        <w:spacing w:line="240" w:lineRule="auto"/>
        <w:rPr>
          <w:u w:val="single"/>
        </w:rPr>
      </w:pPr>
    </w:p>
    <w:p w:rsidR="001B7F63" w:rsidRPr="001B7F63" w:rsidRDefault="001B7F63" w:rsidP="001B7F63">
      <w:pPr>
        <w:pStyle w:val="Delibera"/>
        <w:widowControl/>
        <w:tabs>
          <w:tab w:val="clear" w:pos="567"/>
        </w:tabs>
        <w:overflowPunct/>
        <w:autoSpaceDE/>
        <w:adjustRightInd/>
        <w:spacing w:line="240" w:lineRule="auto"/>
        <w:rPr>
          <w:szCs w:val="24"/>
        </w:rPr>
      </w:pPr>
      <w:r w:rsidRPr="001B7F63">
        <w:t xml:space="preserve">Prosegue l’impegno nel </w:t>
      </w:r>
      <w:proofErr w:type="gramStart"/>
      <w:r w:rsidRPr="001B7F63">
        <w:t>Fondo</w:t>
      </w:r>
      <w:r w:rsidRPr="001B7F63">
        <w:rPr>
          <w:b/>
        </w:rPr>
        <w:t xml:space="preserve"> </w:t>
      </w:r>
      <w:r w:rsidRPr="001B7F63">
        <w:t xml:space="preserve"> per</w:t>
      </w:r>
      <w:proofErr w:type="gramEnd"/>
      <w:r w:rsidRPr="001B7F63">
        <w:t xml:space="preserve"> il  contrasto della povertà educativa minorile e </w:t>
      </w:r>
      <w:r w:rsidRPr="001B7F63">
        <w:rPr>
          <w:szCs w:val="24"/>
        </w:rPr>
        <w:t xml:space="preserve">Fondazione con il Sud </w:t>
      </w:r>
      <w:r w:rsidRPr="001B7F63">
        <w:t>che verrà come in passato  definito per l’Ente  in sede Acri</w:t>
      </w:r>
      <w:r w:rsidRPr="001B7F63">
        <w:rPr>
          <w:rFonts w:eastAsia="SimSun"/>
        </w:rPr>
        <w:t xml:space="preserve">. </w:t>
      </w:r>
    </w:p>
    <w:p w:rsidR="00183428" w:rsidRPr="00BA7494" w:rsidRDefault="00183428" w:rsidP="00065527">
      <w:pPr>
        <w:pStyle w:val="Corpodeltesto21"/>
        <w:rPr>
          <w:rFonts w:ascii="Times New Roman" w:hAnsi="Times New Roman"/>
          <w:iCs/>
          <w:caps/>
          <w:sz w:val="24"/>
          <w:szCs w:val="24"/>
        </w:rPr>
      </w:pPr>
    </w:p>
    <w:p w:rsidR="00474FDD" w:rsidRPr="00BA7494" w:rsidRDefault="001B7393" w:rsidP="00474FDD">
      <w:pPr>
        <w:pStyle w:val="Default"/>
        <w:jc w:val="both"/>
        <w:rPr>
          <w:rFonts w:ascii="Times New Roman" w:eastAsiaTheme="minorHAnsi" w:hAnsi="Times New Roman" w:cs="Times New Roman"/>
          <w:lang w:eastAsia="en-US"/>
        </w:rPr>
      </w:pPr>
      <w:r w:rsidRPr="00BA7494">
        <w:rPr>
          <w:rFonts w:ascii="Times New Roman" w:hAnsi="Times New Roman" w:cs="Times New Roman"/>
        </w:rPr>
        <w:t xml:space="preserve">Nella previsione degli accantonamenti di legge </w:t>
      </w:r>
      <w:proofErr w:type="gramStart"/>
      <w:r w:rsidR="00312AB1" w:rsidRPr="00BA7494">
        <w:rPr>
          <w:rFonts w:ascii="Times New Roman" w:hAnsi="Times New Roman" w:cs="Times New Roman"/>
        </w:rPr>
        <w:t>ricadenti  nel</w:t>
      </w:r>
      <w:proofErr w:type="gramEnd"/>
      <w:r w:rsidR="00312AB1" w:rsidRPr="00BA7494">
        <w:rPr>
          <w:rFonts w:ascii="Times New Roman" w:hAnsi="Times New Roman" w:cs="Times New Roman"/>
        </w:rPr>
        <w:t xml:space="preserve"> settore </w:t>
      </w:r>
      <w:r w:rsidR="00D04DC3" w:rsidRPr="00BA7494">
        <w:rPr>
          <w:rFonts w:ascii="Times New Roman" w:hAnsi="Times New Roman" w:cs="Times New Roman"/>
        </w:rPr>
        <w:t xml:space="preserve"> </w:t>
      </w:r>
      <w:r w:rsidR="00312AB1" w:rsidRPr="00BA7494">
        <w:rPr>
          <w:rFonts w:ascii="Times New Roman" w:hAnsi="Times New Roman" w:cs="Times New Roman"/>
        </w:rPr>
        <w:t xml:space="preserve">in trattazione </w:t>
      </w:r>
      <w:r w:rsidR="00D04DC3" w:rsidRPr="00BA7494">
        <w:rPr>
          <w:rFonts w:ascii="Times New Roman" w:hAnsi="Times New Roman" w:cs="Times New Roman"/>
        </w:rPr>
        <w:t xml:space="preserve">vale per quanto di competenza della Fondazione </w:t>
      </w:r>
      <w:r w:rsidRPr="00BA7494">
        <w:rPr>
          <w:rFonts w:ascii="Times New Roman" w:hAnsi="Times New Roman" w:cs="Times New Roman"/>
        </w:rPr>
        <w:t xml:space="preserve"> </w:t>
      </w:r>
      <w:r w:rsidR="00D04DC3" w:rsidRPr="00BA7494">
        <w:rPr>
          <w:rFonts w:ascii="Times New Roman" w:hAnsi="Times New Roman" w:cs="Times New Roman"/>
        </w:rPr>
        <w:t xml:space="preserve">quanto stabilito  </w:t>
      </w:r>
      <w:r w:rsidR="004D20B5" w:rsidRPr="00BA7494">
        <w:rPr>
          <w:rFonts w:ascii="Times New Roman" w:hAnsi="Times New Roman" w:cs="Times New Roman"/>
        </w:rPr>
        <w:t xml:space="preserve"> nuovo “ </w:t>
      </w:r>
      <w:r w:rsidR="004D20B5" w:rsidRPr="00BA7494">
        <w:rPr>
          <w:rFonts w:ascii="Times New Roman" w:hAnsi="Times New Roman" w:cs="Times New Roman"/>
          <w:i/>
        </w:rPr>
        <w:t xml:space="preserve">Codice del Terzo Settore” </w:t>
      </w:r>
      <w:r w:rsidR="004D20B5" w:rsidRPr="00BA7494">
        <w:rPr>
          <w:rFonts w:ascii="Times New Roman" w:hAnsi="Times New Roman" w:cs="Times New Roman"/>
        </w:rPr>
        <w:t>a norma dell’articolo 1, comma 2 lettera b) della Legge 6 giugno 2016 n. 106</w:t>
      </w:r>
      <w:r w:rsidR="00474FDD" w:rsidRPr="00BA7494">
        <w:rPr>
          <w:rFonts w:ascii="Times New Roman" w:hAnsi="Times New Roman" w:cs="Times New Roman"/>
        </w:rPr>
        <w:t>.</w:t>
      </w: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1B7F63">
      <w:pPr>
        <w:pStyle w:val="Corpodeltesto21"/>
        <w:rPr>
          <w:rFonts w:asciiTheme="minorHAnsi" w:hAnsiTheme="minorHAnsi"/>
          <w:iCs/>
          <w:caps/>
          <w:sz w:val="24"/>
          <w:szCs w:val="24"/>
        </w:rPr>
      </w:pPr>
    </w:p>
    <w:p w:rsidR="00B67B81" w:rsidRDefault="00B67B81" w:rsidP="001B7F63">
      <w:pPr>
        <w:pStyle w:val="Corpodeltesto21"/>
        <w:rPr>
          <w:rFonts w:asciiTheme="minorHAnsi" w:hAnsiTheme="minorHAnsi"/>
          <w:iCs/>
          <w:caps/>
          <w:sz w:val="24"/>
          <w:szCs w:val="24"/>
        </w:rPr>
      </w:pPr>
    </w:p>
    <w:p w:rsidR="00B67B81" w:rsidRDefault="00B67B81" w:rsidP="001B7F63">
      <w:pPr>
        <w:pStyle w:val="Corpodeltesto21"/>
        <w:rPr>
          <w:rFonts w:asciiTheme="minorHAnsi" w:hAnsiTheme="minorHAnsi"/>
          <w:iCs/>
          <w:caps/>
          <w:sz w:val="24"/>
          <w:szCs w:val="24"/>
        </w:rPr>
      </w:pPr>
    </w:p>
    <w:p w:rsidR="00B67B81" w:rsidRDefault="00B67B81" w:rsidP="001B7F63">
      <w:pPr>
        <w:pStyle w:val="Corpodeltesto21"/>
        <w:rPr>
          <w:rFonts w:asciiTheme="minorHAnsi" w:hAnsiTheme="minorHAnsi"/>
          <w:iCs/>
          <w:caps/>
          <w:sz w:val="24"/>
          <w:szCs w:val="24"/>
        </w:rPr>
      </w:pPr>
    </w:p>
    <w:p w:rsidR="005A47C6" w:rsidRDefault="005A47C6" w:rsidP="001B7F63">
      <w:pPr>
        <w:pStyle w:val="Corpodeltesto21"/>
        <w:rPr>
          <w:rFonts w:asciiTheme="minorHAnsi" w:hAnsiTheme="minorHAnsi"/>
          <w:iCs/>
          <w:caps/>
          <w:sz w:val="24"/>
          <w:szCs w:val="24"/>
        </w:rPr>
      </w:pPr>
    </w:p>
    <w:p w:rsidR="005A47C6" w:rsidRDefault="005A47C6" w:rsidP="001B7F63">
      <w:pPr>
        <w:pStyle w:val="Corpodeltesto21"/>
        <w:rPr>
          <w:rFonts w:asciiTheme="minorHAnsi" w:hAnsiTheme="minorHAnsi"/>
          <w:iCs/>
          <w:caps/>
          <w:sz w:val="24"/>
          <w:szCs w:val="24"/>
        </w:rPr>
      </w:pPr>
    </w:p>
    <w:p w:rsidR="005A47C6" w:rsidRDefault="005A47C6" w:rsidP="001B7F63">
      <w:pPr>
        <w:pStyle w:val="Corpodeltesto21"/>
        <w:rPr>
          <w:rFonts w:asciiTheme="minorHAnsi" w:hAnsiTheme="minorHAnsi"/>
          <w:iCs/>
          <w:caps/>
          <w:sz w:val="24"/>
          <w:szCs w:val="24"/>
        </w:rPr>
      </w:pPr>
    </w:p>
    <w:p w:rsidR="005A47C6" w:rsidRDefault="005A47C6" w:rsidP="001B7F63">
      <w:pPr>
        <w:pStyle w:val="Corpodeltesto21"/>
        <w:rPr>
          <w:rFonts w:asciiTheme="minorHAnsi" w:hAnsiTheme="minorHAnsi"/>
          <w:iCs/>
          <w:caps/>
          <w:sz w:val="24"/>
          <w:szCs w:val="24"/>
        </w:rPr>
      </w:pPr>
    </w:p>
    <w:p w:rsidR="005A47C6" w:rsidRDefault="005A47C6" w:rsidP="001B7F63">
      <w:pPr>
        <w:pStyle w:val="Corpodeltesto21"/>
        <w:rPr>
          <w:rFonts w:asciiTheme="minorHAnsi" w:hAnsiTheme="minorHAnsi"/>
          <w:iCs/>
          <w:caps/>
          <w:sz w:val="24"/>
          <w:szCs w:val="24"/>
        </w:rPr>
      </w:pPr>
    </w:p>
    <w:p w:rsidR="00B67B81" w:rsidRDefault="00B67B81"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EE3227" w:rsidRDefault="00EE3227" w:rsidP="001B7F63">
      <w:pPr>
        <w:pStyle w:val="Corpodeltesto21"/>
        <w:rPr>
          <w:rFonts w:asciiTheme="minorHAnsi" w:hAnsiTheme="minorHAnsi"/>
          <w:iCs/>
          <w:caps/>
          <w:sz w:val="24"/>
          <w:szCs w:val="24"/>
        </w:rPr>
      </w:pPr>
    </w:p>
    <w:p w:rsidR="00B67B81" w:rsidRDefault="00B67B81" w:rsidP="001B7F63">
      <w:pPr>
        <w:pStyle w:val="Corpodeltesto21"/>
        <w:rPr>
          <w:rFonts w:asciiTheme="minorHAnsi" w:hAnsiTheme="minorHAnsi"/>
          <w:iCs/>
          <w:caps/>
          <w:sz w:val="24"/>
          <w:szCs w:val="24"/>
        </w:rPr>
      </w:pPr>
    </w:p>
    <w:p w:rsidR="006221EE" w:rsidRPr="00BA7494" w:rsidRDefault="006221EE" w:rsidP="006221EE">
      <w:pPr>
        <w:pStyle w:val="Corpodeltesto21"/>
        <w:jc w:val="center"/>
        <w:rPr>
          <w:rFonts w:ascii="Times New Roman" w:hAnsi="Times New Roman"/>
          <w:iCs/>
          <w:caps/>
          <w:sz w:val="24"/>
          <w:szCs w:val="24"/>
        </w:rPr>
      </w:pPr>
      <w:r w:rsidRPr="00BA7494">
        <w:rPr>
          <w:rFonts w:ascii="Times New Roman" w:hAnsi="Times New Roman"/>
          <w:iCs/>
          <w:caps/>
          <w:sz w:val="24"/>
          <w:szCs w:val="24"/>
        </w:rPr>
        <w:t>Schema    Documento Programmatico Previsionale</w:t>
      </w:r>
    </w:p>
    <w:p w:rsidR="006221EE" w:rsidRPr="00BA7494" w:rsidRDefault="006221EE" w:rsidP="006221EE">
      <w:pPr>
        <w:pStyle w:val="Corpodeltesto21"/>
        <w:tabs>
          <w:tab w:val="left" w:pos="567"/>
        </w:tabs>
        <w:jc w:val="both"/>
        <w:rPr>
          <w:rFonts w:ascii="Times New Roman" w:hAnsi="Times New Roman"/>
          <w:i/>
          <w:iCs/>
          <w:sz w:val="24"/>
          <w:szCs w:val="24"/>
          <w:u w:val="single"/>
        </w:rPr>
      </w:pPr>
    </w:p>
    <w:p w:rsidR="006221EE" w:rsidRPr="00BA7494" w:rsidRDefault="006221EE" w:rsidP="005B74FD">
      <w:pPr>
        <w:pStyle w:val="Corpodeltesto21"/>
        <w:tabs>
          <w:tab w:val="left" w:pos="567"/>
        </w:tabs>
        <w:jc w:val="both"/>
        <w:rPr>
          <w:rFonts w:ascii="Times New Roman" w:hAnsi="Times New Roman"/>
          <w:iCs/>
          <w:sz w:val="24"/>
          <w:szCs w:val="24"/>
          <w:u w:val="single"/>
        </w:rPr>
      </w:pPr>
      <w:r w:rsidRPr="00BA7494">
        <w:rPr>
          <w:rFonts w:ascii="Times New Roman" w:hAnsi="Times New Roman"/>
          <w:iCs/>
          <w:sz w:val="24"/>
          <w:szCs w:val="24"/>
          <w:u w:val="single"/>
        </w:rPr>
        <w:t xml:space="preserve">INCASSI E PROVENTI </w:t>
      </w:r>
      <w:r w:rsidR="005B74FD" w:rsidRPr="00BA7494">
        <w:rPr>
          <w:rFonts w:ascii="Times New Roman" w:hAnsi="Times New Roman"/>
          <w:iCs/>
          <w:sz w:val="24"/>
          <w:szCs w:val="24"/>
          <w:u w:val="single"/>
        </w:rPr>
        <w:t>–</w:t>
      </w:r>
      <w:r w:rsidRPr="00BA7494">
        <w:rPr>
          <w:rFonts w:ascii="Times New Roman" w:hAnsi="Times New Roman"/>
          <w:iCs/>
          <w:sz w:val="24"/>
          <w:szCs w:val="24"/>
          <w:u w:val="single"/>
        </w:rPr>
        <w:t xml:space="preserve"> PARTECIPAZIONI</w:t>
      </w:r>
    </w:p>
    <w:p w:rsidR="005B74FD" w:rsidRPr="00BA7494" w:rsidRDefault="005B74FD" w:rsidP="005B74FD">
      <w:pPr>
        <w:pStyle w:val="Corpodeltesto21"/>
        <w:tabs>
          <w:tab w:val="left" w:pos="567"/>
        </w:tabs>
        <w:jc w:val="both"/>
        <w:rPr>
          <w:rFonts w:ascii="Times New Roman" w:hAnsi="Times New Roman"/>
          <w:bCs/>
          <w:iCs/>
          <w:sz w:val="24"/>
          <w:szCs w:val="24"/>
          <w:u w:val="single"/>
        </w:rPr>
      </w:pPr>
    </w:p>
    <w:p w:rsidR="006221EE" w:rsidRPr="00BA7494" w:rsidRDefault="006221EE" w:rsidP="006221EE">
      <w:pPr>
        <w:pStyle w:val="Delibera"/>
        <w:ind w:right="-1"/>
        <w:rPr>
          <w:b/>
          <w:iCs/>
          <w:szCs w:val="24"/>
        </w:rPr>
      </w:pPr>
      <w:r w:rsidRPr="00BA7494">
        <w:rPr>
          <w:b/>
          <w:iCs/>
          <w:szCs w:val="24"/>
        </w:rPr>
        <w:t xml:space="preserve">Dividendi </w:t>
      </w:r>
      <w:proofErr w:type="gramStart"/>
      <w:r w:rsidRPr="00BA7494">
        <w:rPr>
          <w:b/>
          <w:iCs/>
          <w:szCs w:val="24"/>
        </w:rPr>
        <w:t>previsti  dalla</w:t>
      </w:r>
      <w:proofErr w:type="gramEnd"/>
      <w:r w:rsidRPr="00BA7494">
        <w:rPr>
          <w:b/>
          <w:iCs/>
          <w:szCs w:val="24"/>
        </w:rPr>
        <w:t xml:space="preserve"> C.D.P  S.p.A. </w:t>
      </w:r>
    </w:p>
    <w:p w:rsidR="006221EE" w:rsidRPr="00BA7494" w:rsidRDefault="006221EE" w:rsidP="006221EE">
      <w:pPr>
        <w:rPr>
          <w:rFonts w:ascii="Times New Roman" w:hAnsi="Times New Roman"/>
          <w:szCs w:val="24"/>
        </w:rPr>
      </w:pPr>
      <w:r w:rsidRPr="00BA7494">
        <w:rPr>
          <w:rFonts w:ascii="Times New Roman" w:hAnsi="Times New Roman"/>
          <w:szCs w:val="24"/>
        </w:rPr>
        <w:t xml:space="preserve">La </w:t>
      </w:r>
      <w:proofErr w:type="gramStart"/>
      <w:r w:rsidRPr="00BA7494">
        <w:rPr>
          <w:rFonts w:ascii="Times New Roman" w:hAnsi="Times New Roman"/>
          <w:szCs w:val="24"/>
        </w:rPr>
        <w:t xml:space="preserve">Fondazione,  </w:t>
      </w:r>
      <w:r w:rsidRPr="00BA7494">
        <w:rPr>
          <w:rFonts w:ascii="Times New Roman" w:hAnsi="Times New Roman"/>
          <w:bCs/>
          <w:iCs/>
          <w:szCs w:val="24"/>
        </w:rPr>
        <w:t>è</w:t>
      </w:r>
      <w:proofErr w:type="gramEnd"/>
      <w:r w:rsidRPr="00BA7494">
        <w:rPr>
          <w:rFonts w:ascii="Times New Roman" w:hAnsi="Times New Roman"/>
          <w:bCs/>
          <w:iCs/>
          <w:szCs w:val="24"/>
        </w:rPr>
        <w:t xml:space="preserve">  </w:t>
      </w:r>
      <w:r w:rsidRPr="00BA7494">
        <w:rPr>
          <w:rFonts w:ascii="Times New Roman" w:hAnsi="Times New Roman"/>
          <w:szCs w:val="24"/>
        </w:rPr>
        <w:t xml:space="preserve">titolare di n. 114.348 azioni ordinarie a  costo unitario di € 30,46 per un valore complessivo di € </w:t>
      </w:r>
      <w:r w:rsidRPr="00BA7494">
        <w:rPr>
          <w:rFonts w:ascii="Times New Roman" w:hAnsi="Times New Roman"/>
          <w:szCs w:val="24"/>
          <w:lang w:eastAsia="en-US"/>
        </w:rPr>
        <w:t>3.498.700.</w:t>
      </w:r>
    </w:p>
    <w:p w:rsidR="006221EE" w:rsidRPr="00BA7494" w:rsidRDefault="006221EE" w:rsidP="006221EE">
      <w:pPr>
        <w:rPr>
          <w:rFonts w:ascii="Times New Roman" w:hAnsi="Times New Roman"/>
          <w:szCs w:val="24"/>
        </w:rPr>
      </w:pPr>
    </w:p>
    <w:p w:rsidR="006221EE" w:rsidRPr="00BA7494" w:rsidRDefault="006221EE" w:rsidP="006221EE">
      <w:pPr>
        <w:rPr>
          <w:rFonts w:ascii="Times New Roman" w:hAnsi="Times New Roman"/>
        </w:rPr>
      </w:pPr>
      <w:r w:rsidRPr="00BA7494">
        <w:rPr>
          <w:rFonts w:ascii="Times New Roman" w:hAnsi="Times New Roman"/>
        </w:rPr>
        <w:t xml:space="preserve">L’indicazione sui dividendi attesi tiene conto </w:t>
      </w:r>
      <w:proofErr w:type="gramStart"/>
      <w:r w:rsidRPr="00BA7494">
        <w:rPr>
          <w:rFonts w:ascii="Times New Roman" w:hAnsi="Times New Roman"/>
        </w:rPr>
        <w:t>del  prudente</w:t>
      </w:r>
      <w:proofErr w:type="gramEnd"/>
      <w:r w:rsidRPr="00BA7494">
        <w:rPr>
          <w:rFonts w:ascii="Times New Roman" w:hAnsi="Times New Roman"/>
        </w:rPr>
        <w:t xml:space="preserve"> apprezzamento degli importi distribuiti nei più recenti  esercizi</w:t>
      </w:r>
      <w:r w:rsidR="00BA7494">
        <w:rPr>
          <w:rFonts w:ascii="Times New Roman" w:hAnsi="Times New Roman"/>
        </w:rPr>
        <w:t xml:space="preserve"> (escluse distribuzioni straordinarie) </w:t>
      </w:r>
      <w:r w:rsidRPr="00BA7494">
        <w:rPr>
          <w:rFonts w:ascii="Times New Roman" w:hAnsi="Times New Roman"/>
        </w:rPr>
        <w:t xml:space="preserve"> e dei   ri</w:t>
      </w:r>
      <w:r w:rsidR="00D04DC3" w:rsidRPr="00BA7494">
        <w:rPr>
          <w:rFonts w:ascii="Times New Roman" w:hAnsi="Times New Roman"/>
        </w:rPr>
        <w:t>sultati</w:t>
      </w:r>
      <w:r w:rsidR="00BA7494" w:rsidRPr="00BA7494">
        <w:rPr>
          <w:rFonts w:ascii="Times New Roman" w:hAnsi="Times New Roman"/>
        </w:rPr>
        <w:t xml:space="preserve"> semestrali al 30/06/20</w:t>
      </w:r>
      <w:r w:rsidR="005A47C6">
        <w:rPr>
          <w:rFonts w:ascii="Times New Roman" w:hAnsi="Times New Roman"/>
        </w:rPr>
        <w:t>20</w:t>
      </w:r>
      <w:r w:rsidRPr="00BA7494">
        <w:rPr>
          <w:rFonts w:ascii="Times New Roman" w:hAnsi="Times New Roman"/>
        </w:rPr>
        <w:t xml:space="preserve"> di  C.D.P. </w:t>
      </w:r>
      <w:r w:rsidR="00D41AF1" w:rsidRPr="00BA7494">
        <w:rPr>
          <w:rFonts w:ascii="Times New Roman" w:hAnsi="Times New Roman"/>
        </w:rPr>
        <w:t xml:space="preserve"> S.p.A. </w:t>
      </w:r>
      <w:r w:rsidRPr="00BA7494">
        <w:rPr>
          <w:rFonts w:ascii="Times New Roman" w:hAnsi="Times New Roman"/>
        </w:rPr>
        <w:t>che confermano il positivo andamento della società.</w:t>
      </w:r>
    </w:p>
    <w:p w:rsid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jc w:val="left"/>
        <w:textAlignment w:val="auto"/>
        <w:rPr>
          <w:rFonts w:ascii="ArialMT" w:hAnsi="ArialMT" w:cs="Arial"/>
          <w:b/>
          <w:bCs/>
          <w:color w:val="405464"/>
          <w:sz w:val="27"/>
          <w:szCs w:val="27"/>
        </w:rPr>
      </w:pPr>
    </w:p>
    <w:p w:rsid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textAlignment w:val="auto"/>
        <w:rPr>
          <w:rFonts w:ascii="Times New Roman" w:hAnsi="Times New Roman"/>
          <w:szCs w:val="24"/>
        </w:rPr>
      </w:pPr>
      <w:r w:rsidRPr="005A47C6">
        <w:rPr>
          <w:rFonts w:ascii="Times New Roman" w:hAnsi="Times New Roman"/>
          <w:szCs w:val="24"/>
        </w:rPr>
        <w:t>Nonostante gli effetti della pandemia Covid-19, l’</w:t>
      </w:r>
      <w:r w:rsidRPr="005A47C6">
        <w:rPr>
          <w:rFonts w:ascii="Times New Roman" w:hAnsi="Times New Roman"/>
          <w:bCs/>
          <w:szCs w:val="24"/>
        </w:rPr>
        <w:t>utile netto della</w:t>
      </w:r>
      <w:r w:rsidRPr="005A47C6">
        <w:rPr>
          <w:rFonts w:ascii="ArialMT" w:hAnsi="ArialMT" w:cs="Arial"/>
          <w:bCs/>
          <w:sz w:val="27"/>
          <w:szCs w:val="27"/>
        </w:rPr>
        <w:t xml:space="preserve"> </w:t>
      </w:r>
      <w:r w:rsidRPr="005A47C6">
        <w:rPr>
          <w:rFonts w:ascii="Times New Roman" w:hAnsi="Times New Roman"/>
          <w:bCs/>
          <w:szCs w:val="24"/>
        </w:rPr>
        <w:t>Capogruppo</w:t>
      </w:r>
      <w:r w:rsidRPr="005A47C6">
        <w:rPr>
          <w:rFonts w:ascii="Times New Roman" w:hAnsi="Times New Roman"/>
          <w:szCs w:val="24"/>
        </w:rPr>
        <w:t> risulta pari a </w:t>
      </w:r>
      <w:r w:rsidRPr="005A47C6">
        <w:rPr>
          <w:rFonts w:ascii="Times New Roman" w:hAnsi="Times New Roman"/>
          <w:bCs/>
          <w:szCs w:val="24"/>
        </w:rPr>
        <w:t xml:space="preserve">oltre € 1,3 </w:t>
      </w:r>
      <w:proofErr w:type="spellStart"/>
      <w:r w:rsidRPr="005A47C6">
        <w:rPr>
          <w:rFonts w:ascii="Times New Roman" w:hAnsi="Times New Roman"/>
          <w:bCs/>
          <w:szCs w:val="24"/>
        </w:rPr>
        <w:t>Mld</w:t>
      </w:r>
      <w:proofErr w:type="spellEnd"/>
      <w:r w:rsidRPr="005A47C6">
        <w:rPr>
          <w:rFonts w:ascii="Times New Roman" w:hAnsi="Times New Roman"/>
          <w:bCs/>
          <w:szCs w:val="24"/>
        </w:rPr>
        <w:t> </w:t>
      </w:r>
      <w:r w:rsidRPr="005A47C6">
        <w:rPr>
          <w:rFonts w:ascii="Times New Roman" w:hAnsi="Times New Roman"/>
          <w:szCs w:val="24"/>
        </w:rPr>
        <w:t xml:space="preserve">(€ 1,5 </w:t>
      </w:r>
      <w:proofErr w:type="spellStart"/>
      <w:r w:rsidRPr="005A47C6">
        <w:rPr>
          <w:rFonts w:ascii="Times New Roman" w:hAnsi="Times New Roman"/>
          <w:szCs w:val="24"/>
        </w:rPr>
        <w:t>Mld</w:t>
      </w:r>
      <w:proofErr w:type="spellEnd"/>
      <w:r w:rsidRPr="005A47C6">
        <w:rPr>
          <w:rFonts w:ascii="Times New Roman" w:hAnsi="Times New Roman"/>
          <w:szCs w:val="24"/>
        </w:rPr>
        <w:t xml:space="preserve"> nel primo semestre 2019) con un </w:t>
      </w:r>
      <w:r w:rsidRPr="005A47C6">
        <w:rPr>
          <w:rFonts w:ascii="Times New Roman" w:hAnsi="Times New Roman"/>
          <w:bCs/>
          <w:szCs w:val="24"/>
        </w:rPr>
        <w:t>margine di intermediazione</w:t>
      </w:r>
      <w:r w:rsidRPr="005A47C6">
        <w:rPr>
          <w:rFonts w:ascii="Times New Roman" w:hAnsi="Times New Roman"/>
          <w:szCs w:val="24"/>
        </w:rPr>
        <w:t> che si attesta a € </w:t>
      </w:r>
      <w:r w:rsidRPr="005A47C6">
        <w:rPr>
          <w:rFonts w:ascii="Times New Roman" w:hAnsi="Times New Roman"/>
          <w:bCs/>
          <w:szCs w:val="24"/>
        </w:rPr>
        <w:t xml:space="preserve">1,9 </w:t>
      </w:r>
      <w:proofErr w:type="spellStart"/>
      <w:r w:rsidRPr="005A47C6">
        <w:rPr>
          <w:rFonts w:ascii="Times New Roman" w:hAnsi="Times New Roman"/>
          <w:bCs/>
          <w:szCs w:val="24"/>
        </w:rPr>
        <w:t>Mld</w:t>
      </w:r>
      <w:proofErr w:type="spellEnd"/>
      <w:r w:rsidRPr="005A47C6">
        <w:rPr>
          <w:rFonts w:ascii="Times New Roman" w:hAnsi="Times New Roman"/>
          <w:szCs w:val="24"/>
        </w:rPr>
        <w:t>, sostanzialmente in linea con il risultato del primo semestre 2019.</w:t>
      </w:r>
      <w:r w:rsidRPr="005A47C6">
        <w:rPr>
          <w:rFonts w:ascii="Times New Roman" w:hAnsi="Times New Roman"/>
          <w:szCs w:val="24"/>
        </w:rPr>
        <w:br/>
      </w:r>
      <w:r w:rsidRPr="005A47C6">
        <w:rPr>
          <w:rFonts w:ascii="Times New Roman" w:hAnsi="Times New Roman"/>
          <w:szCs w:val="24"/>
        </w:rPr>
        <w:br/>
        <w:t>Al 30 giugno 2020, il </w:t>
      </w:r>
      <w:r w:rsidRPr="005A47C6">
        <w:rPr>
          <w:rFonts w:ascii="Times New Roman" w:hAnsi="Times New Roman"/>
          <w:bCs/>
          <w:szCs w:val="24"/>
        </w:rPr>
        <w:t>totale attivo</w:t>
      </w:r>
      <w:r w:rsidRPr="005A47C6">
        <w:rPr>
          <w:rFonts w:ascii="Times New Roman" w:hAnsi="Times New Roman"/>
          <w:szCs w:val="24"/>
        </w:rPr>
        <w:t> risulta pari a € </w:t>
      </w:r>
      <w:r w:rsidRPr="005A47C6">
        <w:rPr>
          <w:rFonts w:ascii="Times New Roman" w:hAnsi="Times New Roman"/>
          <w:bCs/>
          <w:szCs w:val="24"/>
        </w:rPr>
        <w:t xml:space="preserve">412 </w:t>
      </w:r>
      <w:proofErr w:type="spellStart"/>
      <w:r w:rsidRPr="005A47C6">
        <w:rPr>
          <w:rFonts w:ascii="Times New Roman" w:hAnsi="Times New Roman"/>
          <w:bCs/>
          <w:szCs w:val="24"/>
        </w:rPr>
        <w:t>Mld</w:t>
      </w:r>
      <w:proofErr w:type="spellEnd"/>
      <w:r w:rsidRPr="005A47C6">
        <w:rPr>
          <w:rFonts w:ascii="Times New Roman" w:hAnsi="Times New Roman"/>
          <w:szCs w:val="24"/>
        </w:rPr>
        <w:t xml:space="preserve">, in aumento rispetto a fine 2019 (€ 386 </w:t>
      </w:r>
      <w:proofErr w:type="spellStart"/>
      <w:r w:rsidRPr="005A47C6">
        <w:rPr>
          <w:rFonts w:ascii="Times New Roman" w:hAnsi="Times New Roman"/>
          <w:szCs w:val="24"/>
        </w:rPr>
        <w:t>Mld</w:t>
      </w:r>
      <w:proofErr w:type="spellEnd"/>
      <w:r w:rsidRPr="005A47C6">
        <w:rPr>
          <w:rFonts w:ascii="Times New Roman" w:hAnsi="Times New Roman"/>
          <w:szCs w:val="24"/>
        </w:rPr>
        <w:t xml:space="preserve">), ed è costituito principalmente da disponibilità liquide e altri impieghi di tesoreria per € 184 </w:t>
      </w:r>
      <w:proofErr w:type="spellStart"/>
      <w:r w:rsidRPr="005A47C6">
        <w:rPr>
          <w:rFonts w:ascii="Times New Roman" w:hAnsi="Times New Roman"/>
          <w:szCs w:val="24"/>
        </w:rPr>
        <w:t>Mld</w:t>
      </w:r>
      <w:proofErr w:type="spellEnd"/>
      <w:r w:rsidRPr="005A47C6">
        <w:rPr>
          <w:rFonts w:ascii="Times New Roman" w:hAnsi="Times New Roman"/>
          <w:szCs w:val="24"/>
        </w:rPr>
        <w:t xml:space="preserve">, crediti verso clientela e banche per € 104 </w:t>
      </w:r>
      <w:proofErr w:type="spellStart"/>
      <w:r w:rsidRPr="005A47C6">
        <w:rPr>
          <w:rFonts w:ascii="Times New Roman" w:hAnsi="Times New Roman"/>
          <w:szCs w:val="24"/>
        </w:rPr>
        <w:t>Mld</w:t>
      </w:r>
      <w:proofErr w:type="spellEnd"/>
      <w:r w:rsidRPr="005A47C6">
        <w:rPr>
          <w:rFonts w:ascii="Times New Roman" w:hAnsi="Times New Roman"/>
          <w:szCs w:val="24"/>
        </w:rPr>
        <w:t xml:space="preserve">, titoli di debito per € 78 </w:t>
      </w:r>
      <w:proofErr w:type="spellStart"/>
      <w:r w:rsidRPr="005A47C6">
        <w:rPr>
          <w:rFonts w:ascii="Times New Roman" w:hAnsi="Times New Roman"/>
          <w:szCs w:val="24"/>
        </w:rPr>
        <w:t>Mld</w:t>
      </w:r>
      <w:proofErr w:type="spellEnd"/>
      <w:r w:rsidRPr="005A47C6">
        <w:rPr>
          <w:rFonts w:ascii="Times New Roman" w:hAnsi="Times New Roman"/>
          <w:szCs w:val="24"/>
        </w:rPr>
        <w:t xml:space="preserve"> e partecipazioni e fondi per € 35 </w:t>
      </w:r>
      <w:proofErr w:type="spellStart"/>
      <w:r w:rsidRPr="005A47C6">
        <w:rPr>
          <w:rFonts w:ascii="Times New Roman" w:hAnsi="Times New Roman"/>
          <w:szCs w:val="24"/>
        </w:rPr>
        <w:t>Mld</w:t>
      </w:r>
      <w:proofErr w:type="spellEnd"/>
      <w:r w:rsidRPr="005A47C6">
        <w:rPr>
          <w:rFonts w:ascii="Times New Roman" w:hAnsi="Times New Roman"/>
          <w:szCs w:val="24"/>
        </w:rPr>
        <w:t>.</w:t>
      </w:r>
    </w:p>
    <w:p w:rsid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textAlignment w:val="auto"/>
        <w:rPr>
          <w:rFonts w:ascii="Times New Roman" w:hAnsi="Times New Roman"/>
          <w:szCs w:val="24"/>
        </w:rPr>
      </w:pPr>
      <w:r w:rsidRPr="005A47C6">
        <w:rPr>
          <w:rFonts w:ascii="Times New Roman" w:hAnsi="Times New Roman"/>
          <w:szCs w:val="24"/>
        </w:rPr>
        <w:br/>
        <w:t>Con riferimento al passivo, la </w:t>
      </w:r>
      <w:r w:rsidRPr="005A47C6">
        <w:rPr>
          <w:rFonts w:ascii="Times New Roman" w:hAnsi="Times New Roman"/>
          <w:bCs/>
          <w:szCs w:val="24"/>
        </w:rPr>
        <w:t>raccolta complessiva</w:t>
      </w:r>
      <w:r w:rsidRPr="005A47C6">
        <w:rPr>
          <w:rFonts w:ascii="Times New Roman" w:hAnsi="Times New Roman"/>
          <w:szCs w:val="24"/>
        </w:rPr>
        <w:t> al 30 giugno 2020 risulta pari a </w:t>
      </w:r>
      <w:r w:rsidRPr="005A47C6">
        <w:rPr>
          <w:rFonts w:ascii="Times New Roman" w:hAnsi="Times New Roman"/>
          <w:bCs/>
          <w:szCs w:val="24"/>
        </w:rPr>
        <w:t xml:space="preserve">€ 382 </w:t>
      </w:r>
      <w:proofErr w:type="spellStart"/>
      <w:r w:rsidRPr="005A47C6">
        <w:rPr>
          <w:rFonts w:ascii="Times New Roman" w:hAnsi="Times New Roman"/>
          <w:bCs/>
          <w:szCs w:val="24"/>
        </w:rPr>
        <w:t>Mld</w:t>
      </w:r>
      <w:proofErr w:type="spellEnd"/>
      <w:r w:rsidRPr="005A47C6">
        <w:rPr>
          <w:rFonts w:ascii="Times New Roman" w:hAnsi="Times New Roman"/>
          <w:szCs w:val="24"/>
        </w:rPr>
        <w:t xml:space="preserve">, in aumento rispetto al 31 dicembre 2019 (€ 356 </w:t>
      </w:r>
      <w:proofErr w:type="spellStart"/>
      <w:r w:rsidRPr="005A47C6">
        <w:rPr>
          <w:rFonts w:ascii="Times New Roman" w:hAnsi="Times New Roman"/>
          <w:szCs w:val="24"/>
        </w:rPr>
        <w:t>Mld</w:t>
      </w:r>
      <w:proofErr w:type="spellEnd"/>
      <w:r w:rsidRPr="005A47C6">
        <w:rPr>
          <w:rFonts w:ascii="Times New Roman" w:hAnsi="Times New Roman"/>
          <w:szCs w:val="24"/>
        </w:rPr>
        <w:t>). La </w:t>
      </w:r>
      <w:r w:rsidRPr="005A47C6">
        <w:rPr>
          <w:rFonts w:ascii="Times New Roman" w:hAnsi="Times New Roman"/>
          <w:bCs/>
          <w:szCs w:val="24"/>
        </w:rPr>
        <w:t>raccolta postale</w:t>
      </w:r>
      <w:r w:rsidRPr="005A47C6">
        <w:rPr>
          <w:rFonts w:ascii="Times New Roman" w:hAnsi="Times New Roman"/>
          <w:szCs w:val="24"/>
        </w:rPr>
        <w:t>, in particolare, </w:t>
      </w:r>
      <w:r w:rsidRPr="005A47C6">
        <w:rPr>
          <w:rFonts w:ascii="Times New Roman" w:hAnsi="Times New Roman"/>
          <w:bCs/>
          <w:szCs w:val="24"/>
        </w:rPr>
        <w:t>supera i € 271</w:t>
      </w:r>
      <w:r w:rsidRPr="005A47C6">
        <w:rPr>
          <w:rFonts w:ascii="Times New Roman" w:hAnsi="Times New Roman"/>
          <w:szCs w:val="24"/>
        </w:rPr>
        <w:t> </w:t>
      </w:r>
      <w:proofErr w:type="spellStart"/>
      <w:r w:rsidRPr="005A47C6">
        <w:rPr>
          <w:rFonts w:ascii="Times New Roman" w:hAnsi="Times New Roman"/>
          <w:szCs w:val="24"/>
        </w:rPr>
        <w:t>Mld</w:t>
      </w:r>
      <w:proofErr w:type="spellEnd"/>
      <w:r w:rsidRPr="005A47C6">
        <w:rPr>
          <w:rFonts w:ascii="Times New Roman" w:hAnsi="Times New Roman"/>
          <w:szCs w:val="24"/>
        </w:rPr>
        <w:t xml:space="preserve"> (€ 265 </w:t>
      </w:r>
      <w:proofErr w:type="spellStart"/>
      <w:r w:rsidRPr="005A47C6">
        <w:rPr>
          <w:rFonts w:ascii="Times New Roman" w:hAnsi="Times New Roman"/>
          <w:szCs w:val="24"/>
        </w:rPr>
        <w:t>Mld</w:t>
      </w:r>
      <w:proofErr w:type="spellEnd"/>
      <w:r w:rsidRPr="005A47C6">
        <w:rPr>
          <w:rFonts w:ascii="Times New Roman" w:hAnsi="Times New Roman"/>
          <w:szCs w:val="24"/>
        </w:rPr>
        <w:t xml:space="preserve"> a fine 2019) grazie alla performance della raccolta netta di CDP, anche riconducibile al lancio di </w:t>
      </w:r>
      <w:r w:rsidRPr="005A47C6">
        <w:rPr>
          <w:rFonts w:ascii="Times New Roman" w:hAnsi="Times New Roman"/>
          <w:bCs/>
          <w:szCs w:val="24"/>
        </w:rPr>
        <w:t>nuovi prodotti </w:t>
      </w:r>
      <w:r w:rsidRPr="005A47C6">
        <w:rPr>
          <w:rFonts w:ascii="Times New Roman" w:hAnsi="Times New Roman"/>
          <w:szCs w:val="24"/>
        </w:rPr>
        <w:t>e all’attivazione di nuovi </w:t>
      </w:r>
      <w:r w:rsidRPr="005A47C6">
        <w:rPr>
          <w:rFonts w:ascii="Times New Roman" w:hAnsi="Times New Roman"/>
          <w:bCs/>
          <w:szCs w:val="24"/>
        </w:rPr>
        <w:t>servizi digitali</w:t>
      </w:r>
      <w:r w:rsidRPr="005A47C6">
        <w:rPr>
          <w:rFonts w:ascii="Times New Roman" w:hAnsi="Times New Roman"/>
          <w:szCs w:val="24"/>
        </w:rPr>
        <w:t>, che hanno contribuito ad una significativa crescita delle vendite sul canale online (+85% rispetto al primo semestre 2019).</w:t>
      </w:r>
    </w:p>
    <w:p w:rsid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textAlignment w:val="auto"/>
        <w:rPr>
          <w:rFonts w:ascii="Times New Roman" w:hAnsi="Times New Roman"/>
          <w:szCs w:val="24"/>
        </w:rPr>
      </w:pPr>
      <w:r w:rsidRPr="005A47C6">
        <w:rPr>
          <w:rFonts w:ascii="Times New Roman" w:hAnsi="Times New Roman"/>
          <w:szCs w:val="24"/>
        </w:rPr>
        <w:br/>
        <w:t xml:space="preserve">Nel corso dei primi sei mesi dell’anno sono inoltre proseguite le iniziative di CDP nell’ambito della raccolta sostenibile, attraverso 2 nuove emissioni Environmental, Social, </w:t>
      </w:r>
      <w:proofErr w:type="spellStart"/>
      <w:r w:rsidRPr="005A47C6">
        <w:rPr>
          <w:rFonts w:ascii="Times New Roman" w:hAnsi="Times New Roman"/>
          <w:szCs w:val="24"/>
        </w:rPr>
        <w:t>Governance</w:t>
      </w:r>
      <w:proofErr w:type="spellEnd"/>
      <w:r w:rsidRPr="005A47C6">
        <w:rPr>
          <w:rFonts w:ascii="Times New Roman" w:hAnsi="Times New Roman"/>
          <w:szCs w:val="24"/>
        </w:rPr>
        <w:t xml:space="preserve"> (ESG), in particolare il Social Housing Bond da € 750 mln e il Covid-19 Social </w:t>
      </w:r>
      <w:proofErr w:type="spellStart"/>
      <w:r w:rsidRPr="005A47C6">
        <w:rPr>
          <w:rFonts w:ascii="Times New Roman" w:hAnsi="Times New Roman"/>
          <w:szCs w:val="24"/>
        </w:rPr>
        <w:t>Response</w:t>
      </w:r>
      <w:proofErr w:type="spellEnd"/>
      <w:r w:rsidRPr="005A47C6">
        <w:rPr>
          <w:rFonts w:ascii="Times New Roman" w:hAnsi="Times New Roman"/>
          <w:szCs w:val="24"/>
        </w:rPr>
        <w:t xml:space="preserve"> Bond da € 1 </w:t>
      </w:r>
      <w:proofErr w:type="spellStart"/>
      <w:r w:rsidRPr="005A47C6">
        <w:rPr>
          <w:rFonts w:ascii="Times New Roman" w:hAnsi="Times New Roman"/>
          <w:szCs w:val="24"/>
        </w:rPr>
        <w:t>Mld</w:t>
      </w:r>
      <w:proofErr w:type="spellEnd"/>
      <w:r w:rsidRPr="005A47C6">
        <w:rPr>
          <w:rFonts w:ascii="Times New Roman" w:hAnsi="Times New Roman"/>
          <w:szCs w:val="24"/>
        </w:rPr>
        <w:t>.</w:t>
      </w:r>
    </w:p>
    <w:p w:rsidR="005A47C6" w:rsidRP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textAlignment w:val="auto"/>
        <w:rPr>
          <w:rFonts w:ascii="Times New Roman" w:hAnsi="Times New Roman"/>
          <w:szCs w:val="24"/>
        </w:rPr>
      </w:pPr>
      <w:r w:rsidRPr="005A47C6">
        <w:rPr>
          <w:rFonts w:ascii="Times New Roman" w:hAnsi="Times New Roman"/>
          <w:szCs w:val="24"/>
        </w:rPr>
        <w:br/>
        <w:t xml:space="preserve">Il patrimonio netto è pari a € 24 </w:t>
      </w:r>
      <w:proofErr w:type="spellStart"/>
      <w:r w:rsidRPr="005A47C6">
        <w:rPr>
          <w:rFonts w:ascii="Times New Roman" w:hAnsi="Times New Roman"/>
          <w:szCs w:val="24"/>
        </w:rPr>
        <w:t>Mld</w:t>
      </w:r>
      <w:proofErr w:type="spellEnd"/>
      <w:r w:rsidRPr="005A47C6">
        <w:rPr>
          <w:rFonts w:ascii="Times New Roman" w:hAnsi="Times New Roman"/>
          <w:szCs w:val="24"/>
        </w:rPr>
        <w:t xml:space="preserve"> (€ 25 </w:t>
      </w:r>
      <w:proofErr w:type="spellStart"/>
      <w:r w:rsidRPr="005A47C6">
        <w:rPr>
          <w:rFonts w:ascii="Times New Roman" w:hAnsi="Times New Roman"/>
          <w:szCs w:val="24"/>
        </w:rPr>
        <w:t>Mld</w:t>
      </w:r>
      <w:proofErr w:type="spellEnd"/>
      <w:r w:rsidRPr="005A47C6">
        <w:rPr>
          <w:rFonts w:ascii="Times New Roman" w:hAnsi="Times New Roman"/>
          <w:szCs w:val="24"/>
        </w:rPr>
        <w:t xml:space="preserve"> al 31 dicembre 2019).</w:t>
      </w:r>
    </w:p>
    <w:p w:rsidR="005A47C6" w:rsidRPr="005A47C6" w:rsidRDefault="005A47C6" w:rsidP="005A47C6">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textAlignment w:val="auto"/>
        <w:rPr>
          <w:rFonts w:ascii="Times New Roman" w:hAnsi="Times New Roman"/>
          <w:szCs w:val="24"/>
        </w:rPr>
      </w:pPr>
      <w:r w:rsidRPr="005A47C6">
        <w:rPr>
          <w:rFonts w:ascii="Times New Roman" w:hAnsi="Times New Roman"/>
          <w:szCs w:val="24"/>
        </w:rPr>
        <w:br/>
        <w:t xml:space="preserve">Con riferimento </w:t>
      </w:r>
      <w:proofErr w:type="gramStart"/>
      <w:r w:rsidRPr="005A47C6">
        <w:rPr>
          <w:rFonts w:ascii="Times New Roman" w:hAnsi="Times New Roman"/>
          <w:szCs w:val="24"/>
        </w:rPr>
        <w:t>al  </w:t>
      </w:r>
      <w:r w:rsidRPr="005A47C6">
        <w:rPr>
          <w:rFonts w:ascii="Times New Roman" w:hAnsi="Times New Roman"/>
          <w:bCs/>
          <w:szCs w:val="24"/>
        </w:rPr>
        <w:t>Gruppo</w:t>
      </w:r>
      <w:proofErr w:type="gramEnd"/>
      <w:r w:rsidRPr="005A47C6">
        <w:rPr>
          <w:rFonts w:ascii="Times New Roman" w:hAnsi="Times New Roman"/>
          <w:bCs/>
          <w:szCs w:val="24"/>
        </w:rPr>
        <w:t xml:space="preserve"> CDP</w:t>
      </w:r>
      <w:r w:rsidRPr="005A47C6">
        <w:rPr>
          <w:rFonts w:ascii="Times New Roman" w:hAnsi="Times New Roman"/>
          <w:szCs w:val="24"/>
        </w:rPr>
        <w:t>  è stato consuntivato un </w:t>
      </w:r>
      <w:r w:rsidRPr="005A47C6">
        <w:rPr>
          <w:rFonts w:ascii="Times New Roman" w:hAnsi="Times New Roman"/>
          <w:bCs/>
          <w:szCs w:val="24"/>
        </w:rPr>
        <w:t xml:space="preserve">utile di periodo ante imposte pari a € 0,8 </w:t>
      </w:r>
      <w:proofErr w:type="spellStart"/>
      <w:r w:rsidRPr="005A47C6">
        <w:rPr>
          <w:rFonts w:ascii="Times New Roman" w:hAnsi="Times New Roman"/>
          <w:bCs/>
          <w:szCs w:val="24"/>
        </w:rPr>
        <w:t>Mld</w:t>
      </w:r>
      <w:proofErr w:type="spellEnd"/>
      <w:r w:rsidRPr="005A47C6">
        <w:rPr>
          <w:rFonts w:ascii="Times New Roman" w:hAnsi="Times New Roman"/>
          <w:szCs w:val="24"/>
        </w:rPr>
        <w:t xml:space="preserve"> (€ 1,1 </w:t>
      </w:r>
      <w:proofErr w:type="spellStart"/>
      <w:r w:rsidRPr="005A47C6">
        <w:rPr>
          <w:rFonts w:ascii="Times New Roman" w:hAnsi="Times New Roman"/>
          <w:szCs w:val="24"/>
        </w:rPr>
        <w:t>Mld</w:t>
      </w:r>
      <w:proofErr w:type="spellEnd"/>
      <w:r w:rsidRPr="005A47C6">
        <w:rPr>
          <w:rFonts w:ascii="Times New Roman" w:hAnsi="Times New Roman"/>
          <w:szCs w:val="24"/>
        </w:rPr>
        <w:t xml:space="preserve"> nello stesso periodo del 2019). Includendo il residuo perimetro, il Gruppo ha registrato un </w:t>
      </w:r>
      <w:r w:rsidRPr="005A47C6">
        <w:rPr>
          <w:rFonts w:ascii="Times New Roman" w:hAnsi="Times New Roman"/>
          <w:bCs/>
          <w:szCs w:val="24"/>
        </w:rPr>
        <w:t xml:space="preserve">risultato netto consolidato di periodo negativo </w:t>
      </w:r>
      <w:proofErr w:type="gramStart"/>
      <w:r w:rsidRPr="005A47C6">
        <w:rPr>
          <w:rFonts w:ascii="Times New Roman" w:hAnsi="Times New Roman"/>
          <w:bCs/>
          <w:szCs w:val="24"/>
        </w:rPr>
        <w:t>per  €</w:t>
      </w:r>
      <w:proofErr w:type="gramEnd"/>
      <w:r w:rsidRPr="005A47C6">
        <w:rPr>
          <w:rFonts w:ascii="Times New Roman" w:hAnsi="Times New Roman"/>
          <w:bCs/>
          <w:szCs w:val="24"/>
        </w:rPr>
        <w:t xml:space="preserve"> 0,7 </w:t>
      </w:r>
      <w:proofErr w:type="spellStart"/>
      <w:r w:rsidRPr="005A47C6">
        <w:rPr>
          <w:rFonts w:ascii="Times New Roman" w:hAnsi="Times New Roman"/>
          <w:bCs/>
          <w:szCs w:val="24"/>
        </w:rPr>
        <w:t>Mld</w:t>
      </w:r>
      <w:proofErr w:type="spellEnd"/>
      <w:r w:rsidRPr="005A47C6">
        <w:rPr>
          <w:rFonts w:ascii="Times New Roman" w:hAnsi="Times New Roman"/>
          <w:szCs w:val="24"/>
        </w:rPr>
        <w:t xml:space="preserve"> (a fronte di un utile di € 2,2 </w:t>
      </w:r>
      <w:proofErr w:type="spellStart"/>
      <w:r w:rsidRPr="005A47C6">
        <w:rPr>
          <w:rFonts w:ascii="Times New Roman" w:hAnsi="Times New Roman"/>
          <w:szCs w:val="24"/>
        </w:rPr>
        <w:t>Mld</w:t>
      </w:r>
      <w:proofErr w:type="spellEnd"/>
      <w:r w:rsidRPr="005A47C6">
        <w:rPr>
          <w:rFonts w:ascii="Times New Roman" w:hAnsi="Times New Roman"/>
          <w:szCs w:val="24"/>
        </w:rPr>
        <w:t xml:space="preserve"> relativo al primo semestre 2019). La variazione, pari a -€ 2,9 </w:t>
      </w:r>
      <w:proofErr w:type="spellStart"/>
      <w:r w:rsidRPr="005A47C6">
        <w:rPr>
          <w:rFonts w:ascii="Times New Roman" w:hAnsi="Times New Roman"/>
          <w:szCs w:val="24"/>
        </w:rPr>
        <w:t>Mld</w:t>
      </w:r>
      <w:proofErr w:type="spellEnd"/>
      <w:r w:rsidRPr="005A47C6">
        <w:rPr>
          <w:rFonts w:ascii="Times New Roman" w:hAnsi="Times New Roman"/>
          <w:szCs w:val="24"/>
        </w:rPr>
        <w:t>, è principalmente dovuta all’</w:t>
      </w:r>
      <w:r w:rsidRPr="005A47C6">
        <w:rPr>
          <w:rFonts w:ascii="Times New Roman" w:hAnsi="Times New Roman"/>
          <w:bCs/>
          <w:szCs w:val="24"/>
        </w:rPr>
        <w:t xml:space="preserve">effetto della valutazione a patrimonio netto di ENI (-€ 2,3 </w:t>
      </w:r>
      <w:proofErr w:type="spellStart"/>
      <w:r w:rsidRPr="005A47C6">
        <w:rPr>
          <w:rFonts w:ascii="Times New Roman" w:hAnsi="Times New Roman"/>
          <w:bCs/>
          <w:szCs w:val="24"/>
        </w:rPr>
        <w:t>Mld</w:t>
      </w:r>
      <w:proofErr w:type="spellEnd"/>
      <w:r w:rsidRPr="005A47C6">
        <w:rPr>
          <w:rFonts w:ascii="Times New Roman" w:hAnsi="Times New Roman"/>
          <w:bCs/>
          <w:szCs w:val="24"/>
        </w:rPr>
        <w:t xml:space="preserve"> rispetto allo stesso periodo dello scorso anno)</w:t>
      </w:r>
      <w:r w:rsidRPr="005A47C6">
        <w:rPr>
          <w:rFonts w:ascii="Times New Roman" w:hAnsi="Times New Roman"/>
          <w:szCs w:val="24"/>
        </w:rPr>
        <w:t xml:space="preserve"> che ha consuntivato nel semestre una perdita netta di € 7,34 </w:t>
      </w:r>
      <w:proofErr w:type="spellStart"/>
      <w:r w:rsidRPr="005A47C6">
        <w:rPr>
          <w:rFonts w:ascii="Times New Roman" w:hAnsi="Times New Roman"/>
          <w:szCs w:val="24"/>
        </w:rPr>
        <w:t>Mld</w:t>
      </w:r>
      <w:proofErr w:type="spellEnd"/>
      <w:r w:rsidRPr="005A47C6">
        <w:rPr>
          <w:rFonts w:ascii="Times New Roman" w:hAnsi="Times New Roman"/>
          <w:szCs w:val="24"/>
        </w:rPr>
        <w:t xml:space="preserve">. La perdita del periodo di pertinenza della Capogruppo è pari a -€ 1,4 </w:t>
      </w:r>
      <w:proofErr w:type="spellStart"/>
      <w:r w:rsidRPr="005A47C6">
        <w:rPr>
          <w:rFonts w:ascii="Times New Roman" w:hAnsi="Times New Roman"/>
          <w:szCs w:val="24"/>
        </w:rPr>
        <w:t>Mld</w:t>
      </w:r>
      <w:proofErr w:type="spellEnd"/>
      <w:r w:rsidRPr="005A47C6">
        <w:rPr>
          <w:rFonts w:ascii="Times New Roman" w:hAnsi="Times New Roman"/>
          <w:szCs w:val="24"/>
        </w:rPr>
        <w:t>.</w:t>
      </w:r>
      <w:r w:rsidRPr="005A47C6">
        <w:rPr>
          <w:rFonts w:ascii="Times New Roman" w:hAnsi="Times New Roman"/>
          <w:szCs w:val="24"/>
        </w:rPr>
        <w:br/>
      </w:r>
      <w:r w:rsidRPr="005A47C6">
        <w:rPr>
          <w:rFonts w:ascii="Times New Roman" w:hAnsi="Times New Roman"/>
          <w:szCs w:val="24"/>
        </w:rPr>
        <w:br/>
        <w:t xml:space="preserve">Al 30 giugno 2020, il totale attivo risulta pari a oltre € 474 </w:t>
      </w:r>
      <w:proofErr w:type="spellStart"/>
      <w:r w:rsidRPr="005A47C6">
        <w:rPr>
          <w:rFonts w:ascii="Times New Roman" w:hAnsi="Times New Roman"/>
          <w:szCs w:val="24"/>
        </w:rPr>
        <w:t>Mld</w:t>
      </w:r>
      <w:proofErr w:type="spellEnd"/>
      <w:r w:rsidRPr="005A47C6">
        <w:rPr>
          <w:rFonts w:ascii="Times New Roman" w:hAnsi="Times New Roman"/>
          <w:szCs w:val="24"/>
        </w:rPr>
        <w:t xml:space="preserve">, rispetto ai € 449 </w:t>
      </w:r>
      <w:proofErr w:type="spellStart"/>
      <w:r w:rsidRPr="005A47C6">
        <w:rPr>
          <w:rFonts w:ascii="Times New Roman" w:hAnsi="Times New Roman"/>
          <w:szCs w:val="24"/>
        </w:rPr>
        <w:t>Mld</w:t>
      </w:r>
      <w:proofErr w:type="spellEnd"/>
      <w:r w:rsidRPr="005A47C6">
        <w:rPr>
          <w:rFonts w:ascii="Times New Roman" w:hAnsi="Times New Roman"/>
          <w:szCs w:val="24"/>
        </w:rPr>
        <w:t xml:space="preserve"> di </w:t>
      </w:r>
      <w:r w:rsidRPr="005A47C6">
        <w:rPr>
          <w:rFonts w:ascii="Times New Roman" w:hAnsi="Times New Roman"/>
          <w:szCs w:val="24"/>
        </w:rPr>
        <w:lastRenderedPageBreak/>
        <w:t xml:space="preserve">dicembre 2019. In particolare, le disponibilità liquide ammontano a € 182 </w:t>
      </w:r>
      <w:proofErr w:type="spellStart"/>
      <w:r w:rsidRPr="005A47C6">
        <w:rPr>
          <w:rFonts w:ascii="Times New Roman" w:hAnsi="Times New Roman"/>
          <w:szCs w:val="24"/>
        </w:rPr>
        <w:t>Mld</w:t>
      </w:r>
      <w:proofErr w:type="spellEnd"/>
      <w:r w:rsidRPr="005A47C6">
        <w:rPr>
          <w:rFonts w:ascii="Times New Roman" w:hAnsi="Times New Roman"/>
          <w:szCs w:val="24"/>
        </w:rPr>
        <w:t xml:space="preserve"> (€ 171 al 31 dicembre 2019), i crediti verso clientela e banche si attestano a € 113 </w:t>
      </w:r>
      <w:proofErr w:type="spellStart"/>
      <w:r w:rsidRPr="005A47C6">
        <w:rPr>
          <w:rFonts w:ascii="Times New Roman" w:hAnsi="Times New Roman"/>
          <w:szCs w:val="24"/>
        </w:rPr>
        <w:t>Mld</w:t>
      </w:r>
      <w:proofErr w:type="spellEnd"/>
      <w:r w:rsidRPr="005A47C6">
        <w:rPr>
          <w:rFonts w:ascii="Times New Roman" w:hAnsi="Times New Roman"/>
          <w:szCs w:val="24"/>
        </w:rPr>
        <w:t xml:space="preserve"> (€ 106 </w:t>
      </w:r>
      <w:proofErr w:type="spellStart"/>
      <w:r w:rsidRPr="005A47C6">
        <w:rPr>
          <w:rFonts w:ascii="Times New Roman" w:hAnsi="Times New Roman"/>
          <w:szCs w:val="24"/>
        </w:rPr>
        <w:t>Mld</w:t>
      </w:r>
      <w:proofErr w:type="spellEnd"/>
      <w:r w:rsidRPr="005A47C6">
        <w:rPr>
          <w:rFonts w:ascii="Times New Roman" w:hAnsi="Times New Roman"/>
          <w:szCs w:val="24"/>
        </w:rPr>
        <w:t xml:space="preserve"> al 31 dicembre 2019), i titoli di debito raggiungono i € 91 </w:t>
      </w:r>
      <w:proofErr w:type="spellStart"/>
      <w:r w:rsidRPr="005A47C6">
        <w:rPr>
          <w:rFonts w:ascii="Times New Roman" w:hAnsi="Times New Roman"/>
          <w:szCs w:val="24"/>
        </w:rPr>
        <w:t>Mld</w:t>
      </w:r>
      <w:proofErr w:type="spellEnd"/>
      <w:r w:rsidRPr="005A47C6">
        <w:rPr>
          <w:rFonts w:ascii="Times New Roman" w:hAnsi="Times New Roman"/>
          <w:szCs w:val="24"/>
        </w:rPr>
        <w:t xml:space="preserve"> (€ 85 </w:t>
      </w:r>
      <w:proofErr w:type="spellStart"/>
      <w:r w:rsidRPr="005A47C6">
        <w:rPr>
          <w:rFonts w:ascii="Times New Roman" w:hAnsi="Times New Roman"/>
          <w:szCs w:val="24"/>
        </w:rPr>
        <w:t>Mld</w:t>
      </w:r>
      <w:proofErr w:type="spellEnd"/>
      <w:r w:rsidRPr="005A47C6">
        <w:rPr>
          <w:rFonts w:ascii="Times New Roman" w:hAnsi="Times New Roman"/>
          <w:szCs w:val="24"/>
        </w:rPr>
        <w:t xml:space="preserve"> al 31 dicembre 2019) e le partecipazioni si attestano a oltre € 16 </w:t>
      </w:r>
      <w:proofErr w:type="spellStart"/>
      <w:r w:rsidRPr="005A47C6">
        <w:rPr>
          <w:rFonts w:ascii="Times New Roman" w:hAnsi="Times New Roman"/>
          <w:szCs w:val="24"/>
        </w:rPr>
        <w:t>Mld</w:t>
      </w:r>
      <w:proofErr w:type="spellEnd"/>
      <w:r w:rsidRPr="005A47C6">
        <w:rPr>
          <w:rFonts w:ascii="Times New Roman" w:hAnsi="Times New Roman"/>
          <w:szCs w:val="24"/>
        </w:rPr>
        <w:t xml:space="preserve"> (€ 19 </w:t>
      </w:r>
      <w:proofErr w:type="spellStart"/>
      <w:r w:rsidRPr="005A47C6">
        <w:rPr>
          <w:rFonts w:ascii="Times New Roman" w:hAnsi="Times New Roman"/>
          <w:szCs w:val="24"/>
        </w:rPr>
        <w:t>Mld</w:t>
      </w:r>
      <w:proofErr w:type="spellEnd"/>
      <w:r w:rsidRPr="005A47C6">
        <w:rPr>
          <w:rFonts w:ascii="Times New Roman" w:hAnsi="Times New Roman"/>
          <w:szCs w:val="24"/>
        </w:rPr>
        <w:t xml:space="preserve"> al 31 dicembre 2019).</w:t>
      </w:r>
      <w:r w:rsidRPr="005A47C6">
        <w:rPr>
          <w:rFonts w:ascii="Times New Roman" w:hAnsi="Times New Roman"/>
          <w:szCs w:val="24"/>
        </w:rPr>
        <w:br/>
      </w:r>
      <w:r w:rsidRPr="005A47C6">
        <w:rPr>
          <w:rFonts w:ascii="Times New Roman" w:hAnsi="Times New Roman"/>
          <w:szCs w:val="24"/>
        </w:rPr>
        <w:br/>
        <w:t xml:space="preserve">Il patrimonio netto consolidato si attesta a € 32 </w:t>
      </w:r>
      <w:proofErr w:type="spellStart"/>
      <w:r w:rsidRPr="005A47C6">
        <w:rPr>
          <w:rFonts w:ascii="Times New Roman" w:hAnsi="Times New Roman"/>
          <w:szCs w:val="24"/>
        </w:rPr>
        <w:t>Mld</w:t>
      </w:r>
      <w:proofErr w:type="spellEnd"/>
      <w:r w:rsidRPr="005A47C6">
        <w:rPr>
          <w:rFonts w:ascii="Times New Roman" w:hAnsi="Times New Roman"/>
          <w:szCs w:val="24"/>
        </w:rPr>
        <w:t xml:space="preserve">, di cui € 19 </w:t>
      </w:r>
      <w:proofErr w:type="spellStart"/>
      <w:r w:rsidRPr="005A47C6">
        <w:rPr>
          <w:rFonts w:ascii="Times New Roman" w:hAnsi="Times New Roman"/>
          <w:szCs w:val="24"/>
        </w:rPr>
        <w:t>Mld</w:t>
      </w:r>
      <w:proofErr w:type="spellEnd"/>
      <w:r w:rsidRPr="005A47C6">
        <w:rPr>
          <w:rFonts w:ascii="Times New Roman" w:hAnsi="Times New Roman"/>
          <w:szCs w:val="24"/>
        </w:rPr>
        <w:t xml:space="preserve"> relativi al patrimonio netto di Gruppo.</w:t>
      </w:r>
    </w:p>
    <w:p w:rsidR="00BA7494" w:rsidRPr="000E412C" w:rsidRDefault="00BA7494" w:rsidP="006221EE">
      <w:pPr>
        <w:rPr>
          <w:rFonts w:asciiTheme="minorHAnsi" w:hAnsiTheme="minorHAnsi"/>
          <w:szCs w:val="24"/>
        </w:rPr>
      </w:pPr>
    </w:p>
    <w:tbl>
      <w:tblPr>
        <w:tblW w:w="822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66"/>
        <w:gridCol w:w="1625"/>
        <w:gridCol w:w="2046"/>
        <w:gridCol w:w="1985"/>
      </w:tblGrid>
      <w:tr w:rsidR="005442F6" w:rsidRPr="00277BF5" w:rsidTr="005442F6">
        <w:tc>
          <w:tcPr>
            <w:tcW w:w="2566" w:type="dxa"/>
            <w:tcBorders>
              <w:top w:val="single" w:sz="4" w:space="0" w:color="auto"/>
              <w:left w:val="single" w:sz="4" w:space="0" w:color="auto"/>
              <w:bottom w:val="single" w:sz="4" w:space="0" w:color="auto"/>
              <w:right w:val="single" w:sz="4" w:space="0" w:color="auto"/>
            </w:tcBorders>
          </w:tcPr>
          <w:p w:rsidR="005442F6" w:rsidRPr="00277BF5" w:rsidRDefault="005442F6" w:rsidP="005442F6">
            <w:pPr>
              <w:pStyle w:val="Delibera"/>
              <w:ind w:right="-1"/>
              <w:rPr>
                <w:bCs/>
                <w:iCs/>
                <w:szCs w:val="22"/>
                <w:lang w:eastAsia="en-US"/>
              </w:rPr>
            </w:pPr>
          </w:p>
        </w:tc>
        <w:tc>
          <w:tcPr>
            <w:tcW w:w="1625" w:type="dxa"/>
            <w:tcBorders>
              <w:top w:val="single" w:sz="4" w:space="0" w:color="auto"/>
              <w:left w:val="single" w:sz="4" w:space="0" w:color="auto"/>
              <w:bottom w:val="single" w:sz="4" w:space="0" w:color="auto"/>
              <w:right w:val="single" w:sz="4" w:space="0" w:color="auto"/>
            </w:tcBorders>
            <w:hideMark/>
          </w:tcPr>
          <w:p w:rsidR="005442F6" w:rsidRPr="00277BF5" w:rsidRDefault="005442F6" w:rsidP="005442F6">
            <w:pPr>
              <w:pStyle w:val="Delibera"/>
              <w:spacing w:line="240" w:lineRule="auto"/>
              <w:jc w:val="center"/>
              <w:rPr>
                <w:b/>
                <w:iCs/>
                <w:szCs w:val="22"/>
                <w:lang w:eastAsia="en-US"/>
              </w:rPr>
            </w:pPr>
            <w:r w:rsidRPr="00277BF5">
              <w:rPr>
                <w:b/>
                <w:iCs/>
                <w:sz w:val="22"/>
                <w:szCs w:val="22"/>
                <w:lang w:eastAsia="en-US"/>
              </w:rPr>
              <w:t>DPP 202</w:t>
            </w:r>
            <w:r>
              <w:rPr>
                <w:b/>
                <w:iCs/>
                <w:sz w:val="22"/>
                <w:szCs w:val="22"/>
                <w:lang w:eastAsia="en-US"/>
              </w:rPr>
              <w:t>1</w:t>
            </w:r>
          </w:p>
        </w:tc>
        <w:tc>
          <w:tcPr>
            <w:tcW w:w="2046" w:type="dxa"/>
            <w:tcBorders>
              <w:top w:val="single" w:sz="4" w:space="0" w:color="auto"/>
              <w:left w:val="single" w:sz="4" w:space="0" w:color="auto"/>
              <w:bottom w:val="single" w:sz="4" w:space="0" w:color="auto"/>
              <w:right w:val="single" w:sz="4" w:space="0" w:color="auto"/>
            </w:tcBorders>
            <w:hideMark/>
          </w:tcPr>
          <w:p w:rsidR="005442F6" w:rsidRPr="00277BF5" w:rsidRDefault="005442F6" w:rsidP="005442F6">
            <w:pPr>
              <w:pStyle w:val="Delibera"/>
              <w:spacing w:line="240" w:lineRule="auto"/>
              <w:jc w:val="center"/>
              <w:rPr>
                <w:i/>
                <w:iCs/>
                <w:szCs w:val="22"/>
              </w:rPr>
            </w:pPr>
            <w:r w:rsidRPr="00277BF5">
              <w:rPr>
                <w:i/>
                <w:iCs/>
                <w:sz w:val="22"/>
                <w:szCs w:val="22"/>
              </w:rPr>
              <w:t>dividendi incassati</w:t>
            </w:r>
          </w:p>
          <w:p w:rsidR="005442F6" w:rsidRPr="00277BF5" w:rsidRDefault="005442F6" w:rsidP="005442F6">
            <w:pPr>
              <w:pStyle w:val="Delibera"/>
              <w:spacing w:line="240" w:lineRule="auto"/>
              <w:jc w:val="center"/>
              <w:rPr>
                <w:i/>
                <w:iCs/>
                <w:szCs w:val="22"/>
                <w:lang w:eastAsia="en-US"/>
              </w:rPr>
            </w:pPr>
            <w:r w:rsidRPr="00277BF5">
              <w:rPr>
                <w:i/>
                <w:iCs/>
                <w:sz w:val="22"/>
                <w:szCs w:val="22"/>
                <w:lang w:eastAsia="en-US"/>
              </w:rPr>
              <w:t>20</w:t>
            </w:r>
            <w:r>
              <w:rPr>
                <w:i/>
                <w:iCs/>
                <w:sz w:val="22"/>
                <w:szCs w:val="22"/>
                <w:lang w:eastAsia="en-US"/>
              </w:rPr>
              <w:t>20</w:t>
            </w:r>
          </w:p>
          <w:p w:rsidR="005442F6" w:rsidRPr="00277BF5" w:rsidRDefault="005442F6" w:rsidP="005442F6">
            <w:pPr>
              <w:pStyle w:val="Delibera"/>
              <w:spacing w:line="240" w:lineRule="auto"/>
              <w:jc w:val="center"/>
              <w:rPr>
                <w:i/>
                <w:iCs/>
                <w:szCs w:val="22"/>
                <w:lang w:eastAsia="en-US"/>
              </w:rPr>
            </w:pPr>
            <w:r w:rsidRPr="00277BF5">
              <w:rPr>
                <w:i/>
                <w:iCs/>
                <w:sz w:val="22"/>
                <w:szCs w:val="22"/>
                <w:lang w:eastAsia="en-US"/>
              </w:rPr>
              <w:t>(esercizio 20</w:t>
            </w:r>
            <w:r>
              <w:rPr>
                <w:i/>
                <w:iCs/>
                <w:sz w:val="22"/>
                <w:szCs w:val="22"/>
                <w:lang w:eastAsia="en-US"/>
              </w:rPr>
              <w:t>19</w:t>
            </w:r>
            <w:r w:rsidRPr="00277BF5">
              <w:rPr>
                <w:i/>
                <w:iCs/>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5442F6" w:rsidRPr="00277BF5" w:rsidRDefault="005442F6" w:rsidP="005442F6">
            <w:pPr>
              <w:pStyle w:val="Delibera"/>
              <w:spacing w:line="240" w:lineRule="auto"/>
              <w:jc w:val="center"/>
              <w:rPr>
                <w:i/>
                <w:iCs/>
                <w:szCs w:val="22"/>
              </w:rPr>
            </w:pPr>
            <w:r w:rsidRPr="00277BF5">
              <w:rPr>
                <w:i/>
                <w:iCs/>
                <w:sz w:val="22"/>
                <w:szCs w:val="22"/>
              </w:rPr>
              <w:t>dividendi incassati</w:t>
            </w:r>
          </w:p>
          <w:p w:rsidR="005442F6" w:rsidRPr="00277BF5" w:rsidRDefault="005442F6" w:rsidP="005442F6">
            <w:pPr>
              <w:pStyle w:val="Delibera"/>
              <w:spacing w:line="240" w:lineRule="auto"/>
              <w:jc w:val="center"/>
              <w:rPr>
                <w:i/>
                <w:iCs/>
                <w:szCs w:val="22"/>
                <w:lang w:eastAsia="en-US"/>
              </w:rPr>
            </w:pPr>
            <w:r w:rsidRPr="00277BF5">
              <w:rPr>
                <w:i/>
                <w:iCs/>
                <w:sz w:val="22"/>
                <w:szCs w:val="22"/>
                <w:lang w:eastAsia="en-US"/>
              </w:rPr>
              <w:t>2019</w:t>
            </w:r>
          </w:p>
          <w:p w:rsidR="005442F6" w:rsidRPr="00277BF5" w:rsidRDefault="005442F6" w:rsidP="005442F6">
            <w:pPr>
              <w:pStyle w:val="Delibera"/>
              <w:spacing w:line="240" w:lineRule="auto"/>
              <w:jc w:val="center"/>
              <w:rPr>
                <w:i/>
                <w:iCs/>
                <w:szCs w:val="22"/>
                <w:lang w:eastAsia="en-US"/>
              </w:rPr>
            </w:pPr>
            <w:r w:rsidRPr="00277BF5">
              <w:rPr>
                <w:i/>
                <w:iCs/>
                <w:sz w:val="22"/>
                <w:szCs w:val="22"/>
                <w:lang w:eastAsia="en-US"/>
              </w:rPr>
              <w:t>(esercizio 2018)</w:t>
            </w:r>
          </w:p>
        </w:tc>
      </w:tr>
      <w:tr w:rsidR="005442F6" w:rsidRPr="00277BF5" w:rsidTr="005442F6">
        <w:tc>
          <w:tcPr>
            <w:tcW w:w="2566" w:type="dxa"/>
            <w:tcBorders>
              <w:top w:val="single" w:sz="4" w:space="0" w:color="auto"/>
              <w:left w:val="single" w:sz="4" w:space="0" w:color="auto"/>
              <w:bottom w:val="single" w:sz="4" w:space="0" w:color="auto"/>
              <w:right w:val="single" w:sz="4" w:space="0" w:color="auto"/>
            </w:tcBorders>
            <w:hideMark/>
          </w:tcPr>
          <w:p w:rsidR="005442F6" w:rsidRPr="00277BF5" w:rsidRDefault="005442F6" w:rsidP="005442F6">
            <w:pPr>
              <w:pStyle w:val="Delibera"/>
              <w:ind w:right="-1"/>
              <w:rPr>
                <w:bCs/>
                <w:iCs/>
                <w:szCs w:val="22"/>
                <w:lang w:eastAsia="en-US"/>
              </w:rPr>
            </w:pPr>
            <w:r w:rsidRPr="00277BF5">
              <w:rPr>
                <w:bCs/>
                <w:iCs/>
                <w:sz w:val="22"/>
                <w:szCs w:val="22"/>
                <w:lang w:eastAsia="en-US"/>
              </w:rPr>
              <w:t>Dividendi   C.D.P. S.p.A.</w:t>
            </w:r>
          </w:p>
        </w:tc>
        <w:tc>
          <w:tcPr>
            <w:tcW w:w="1625" w:type="dxa"/>
            <w:tcBorders>
              <w:top w:val="single" w:sz="4" w:space="0" w:color="auto"/>
              <w:left w:val="single" w:sz="4" w:space="0" w:color="auto"/>
              <w:bottom w:val="single" w:sz="4" w:space="0" w:color="auto"/>
              <w:right w:val="single" w:sz="4" w:space="0" w:color="auto"/>
            </w:tcBorders>
            <w:hideMark/>
          </w:tcPr>
          <w:p w:rsidR="005442F6" w:rsidRPr="005442F6" w:rsidRDefault="00D121A6" w:rsidP="005442F6">
            <w:pPr>
              <w:pStyle w:val="Delibera"/>
              <w:ind w:right="-1"/>
              <w:jc w:val="center"/>
              <w:rPr>
                <w:bCs/>
                <w:iCs/>
                <w:sz w:val="22"/>
                <w:szCs w:val="22"/>
                <w:lang w:eastAsia="en-US"/>
              </w:rPr>
            </w:pPr>
            <w:r>
              <w:rPr>
                <w:bCs/>
                <w:iCs/>
                <w:sz w:val="22"/>
                <w:szCs w:val="22"/>
                <w:lang w:eastAsia="en-US"/>
              </w:rPr>
              <w:t>500.000</w:t>
            </w:r>
          </w:p>
        </w:tc>
        <w:tc>
          <w:tcPr>
            <w:tcW w:w="2046" w:type="dxa"/>
            <w:tcBorders>
              <w:top w:val="single" w:sz="4" w:space="0" w:color="auto"/>
              <w:left w:val="single" w:sz="4" w:space="0" w:color="auto"/>
              <w:bottom w:val="single" w:sz="4" w:space="0" w:color="auto"/>
              <w:right w:val="single" w:sz="4" w:space="0" w:color="auto"/>
            </w:tcBorders>
            <w:hideMark/>
          </w:tcPr>
          <w:p w:rsidR="005442F6" w:rsidRPr="005442F6" w:rsidRDefault="005442F6" w:rsidP="005442F6">
            <w:pPr>
              <w:pStyle w:val="Delibera"/>
              <w:ind w:right="-1"/>
              <w:jc w:val="center"/>
              <w:rPr>
                <w:bCs/>
                <w:i/>
                <w:iCs/>
                <w:sz w:val="22"/>
                <w:szCs w:val="22"/>
                <w:lang w:eastAsia="en-US"/>
              </w:rPr>
            </w:pPr>
            <w:r w:rsidRPr="005442F6">
              <w:rPr>
                <w:bCs/>
                <w:i/>
                <w:iCs/>
                <w:sz w:val="22"/>
                <w:szCs w:val="22"/>
                <w:lang w:eastAsia="en-US"/>
              </w:rPr>
              <w:t>728.397</w:t>
            </w:r>
          </w:p>
        </w:tc>
        <w:tc>
          <w:tcPr>
            <w:tcW w:w="1985" w:type="dxa"/>
            <w:tcBorders>
              <w:top w:val="single" w:sz="4" w:space="0" w:color="auto"/>
              <w:left w:val="single" w:sz="4" w:space="0" w:color="auto"/>
              <w:bottom w:val="single" w:sz="4" w:space="0" w:color="auto"/>
              <w:right w:val="single" w:sz="4" w:space="0" w:color="auto"/>
            </w:tcBorders>
          </w:tcPr>
          <w:p w:rsidR="005442F6" w:rsidRPr="005442F6" w:rsidRDefault="005442F6" w:rsidP="005442F6">
            <w:pPr>
              <w:pStyle w:val="Delibera"/>
              <w:ind w:right="-1"/>
              <w:jc w:val="center"/>
              <w:rPr>
                <w:bCs/>
                <w:i/>
                <w:iCs/>
                <w:sz w:val="22"/>
                <w:szCs w:val="22"/>
                <w:lang w:eastAsia="en-US"/>
              </w:rPr>
            </w:pPr>
            <w:r w:rsidRPr="005442F6">
              <w:rPr>
                <w:i/>
                <w:sz w:val="22"/>
                <w:szCs w:val="22"/>
                <w:lang w:eastAsia="en-US"/>
              </w:rPr>
              <w:t>850.749</w:t>
            </w:r>
          </w:p>
        </w:tc>
      </w:tr>
    </w:tbl>
    <w:p w:rsidR="003077A2" w:rsidRDefault="003077A2" w:rsidP="006221EE">
      <w:pPr>
        <w:rPr>
          <w:rFonts w:asciiTheme="minorHAnsi" w:hAnsiTheme="minorHAnsi"/>
          <w:szCs w:val="24"/>
        </w:rPr>
      </w:pPr>
    </w:p>
    <w:p w:rsidR="003077A2" w:rsidRPr="000E412C" w:rsidRDefault="003077A2" w:rsidP="006221EE">
      <w:pPr>
        <w:rPr>
          <w:rFonts w:asciiTheme="minorHAnsi" w:hAnsiTheme="minorHAnsi"/>
          <w:szCs w:val="24"/>
        </w:rPr>
      </w:pPr>
    </w:p>
    <w:p w:rsidR="006221EE" w:rsidRPr="00AB27B3" w:rsidRDefault="006221EE" w:rsidP="006221EE">
      <w:pPr>
        <w:pStyle w:val="Delibera"/>
        <w:tabs>
          <w:tab w:val="left" w:pos="993"/>
        </w:tabs>
        <w:spacing w:line="240" w:lineRule="auto"/>
        <w:rPr>
          <w:bCs/>
          <w:szCs w:val="24"/>
        </w:rPr>
      </w:pPr>
      <w:proofErr w:type="gramStart"/>
      <w:r w:rsidRPr="00AB27B3">
        <w:rPr>
          <w:bCs/>
          <w:szCs w:val="24"/>
        </w:rPr>
        <w:t>I  dati</w:t>
      </w:r>
      <w:proofErr w:type="gramEnd"/>
      <w:r w:rsidRPr="00AB27B3">
        <w:rPr>
          <w:bCs/>
          <w:szCs w:val="24"/>
        </w:rPr>
        <w:t xml:space="preserve"> del  DP</w:t>
      </w:r>
      <w:r w:rsidR="00B45E94" w:rsidRPr="00AB27B3">
        <w:rPr>
          <w:bCs/>
          <w:szCs w:val="24"/>
        </w:rPr>
        <w:t>P 202</w:t>
      </w:r>
      <w:r w:rsidR="005442F6">
        <w:rPr>
          <w:bCs/>
          <w:szCs w:val="24"/>
        </w:rPr>
        <w:t>1</w:t>
      </w:r>
      <w:r w:rsidRPr="00AB27B3">
        <w:rPr>
          <w:bCs/>
          <w:szCs w:val="24"/>
        </w:rPr>
        <w:t xml:space="preserve"> che seguono sono confr</w:t>
      </w:r>
      <w:r w:rsidR="00B45E94" w:rsidRPr="00AB27B3">
        <w:rPr>
          <w:bCs/>
          <w:szCs w:val="24"/>
        </w:rPr>
        <w:t xml:space="preserve">ontati  con quelli del  DPP </w:t>
      </w:r>
      <w:r w:rsidR="005442F6">
        <w:rPr>
          <w:bCs/>
          <w:szCs w:val="24"/>
        </w:rPr>
        <w:t xml:space="preserve"> 2020</w:t>
      </w:r>
      <w:r w:rsidRPr="00AB27B3">
        <w:rPr>
          <w:bCs/>
          <w:szCs w:val="24"/>
        </w:rPr>
        <w:t xml:space="preserve"> e     del bi</w:t>
      </w:r>
      <w:r w:rsidR="00B45E94" w:rsidRPr="00AB27B3">
        <w:rPr>
          <w:bCs/>
          <w:szCs w:val="24"/>
        </w:rPr>
        <w:t>lancio consuntivo al 31/12/ 20</w:t>
      </w:r>
      <w:r w:rsidR="005442F6">
        <w:rPr>
          <w:bCs/>
          <w:szCs w:val="24"/>
        </w:rPr>
        <w:t>19</w:t>
      </w:r>
      <w:r w:rsidRPr="00AB27B3">
        <w:rPr>
          <w:bCs/>
          <w:szCs w:val="24"/>
        </w:rPr>
        <w:t>.</w:t>
      </w:r>
    </w:p>
    <w:p w:rsidR="006221EE" w:rsidRPr="000E412C" w:rsidRDefault="006221EE" w:rsidP="006221EE">
      <w:pPr>
        <w:pStyle w:val="Delibera"/>
        <w:tabs>
          <w:tab w:val="left" w:pos="993"/>
        </w:tabs>
        <w:ind w:right="-1"/>
        <w:rPr>
          <w:rFonts w:asciiTheme="minorHAnsi" w:hAnsiTheme="minorHAnsi"/>
          <w:b/>
          <w:iCs/>
          <w:szCs w:val="24"/>
          <w:u w:val="single"/>
        </w:rPr>
      </w:pPr>
    </w:p>
    <w:p w:rsidR="000D6EB4" w:rsidRPr="000D6EB4" w:rsidRDefault="000D6EB4" w:rsidP="006221EE">
      <w:pPr>
        <w:pStyle w:val="Delibera"/>
        <w:spacing w:line="240" w:lineRule="auto"/>
        <w:ind w:right="-1"/>
        <w:rPr>
          <w:b/>
          <w:bCs/>
          <w:iCs/>
          <w:szCs w:val="24"/>
        </w:rPr>
      </w:pPr>
      <w:r w:rsidRPr="000D6EB4">
        <w:rPr>
          <w:b/>
          <w:bCs/>
          <w:iCs/>
          <w:szCs w:val="24"/>
        </w:rPr>
        <w:t xml:space="preserve">Portafoglio immobilizzato e gestioni patrimoniali </w:t>
      </w:r>
    </w:p>
    <w:p w:rsidR="006221EE" w:rsidRPr="00277BF5" w:rsidRDefault="006221EE" w:rsidP="006221EE">
      <w:pPr>
        <w:pStyle w:val="Delibera"/>
        <w:spacing w:line="240" w:lineRule="auto"/>
        <w:ind w:right="-1"/>
        <w:rPr>
          <w:bCs/>
          <w:iCs/>
          <w:szCs w:val="24"/>
        </w:rPr>
      </w:pPr>
      <w:r w:rsidRPr="00277BF5">
        <w:rPr>
          <w:bCs/>
          <w:iCs/>
          <w:szCs w:val="24"/>
        </w:rPr>
        <w:t xml:space="preserve">La consistenza media dei titoli in portafoglio e la loro </w:t>
      </w:r>
      <w:proofErr w:type="gramStart"/>
      <w:r w:rsidRPr="00277BF5">
        <w:rPr>
          <w:bCs/>
          <w:iCs/>
          <w:szCs w:val="24"/>
        </w:rPr>
        <w:t>valorizzazione  sono</w:t>
      </w:r>
      <w:proofErr w:type="gramEnd"/>
      <w:r w:rsidRPr="00277BF5">
        <w:rPr>
          <w:bCs/>
          <w:iCs/>
          <w:szCs w:val="24"/>
        </w:rPr>
        <w:t xml:space="preserve"> basati sulle prospettive di mercato e la stima dei rendimenti formulate dall’advisor.</w:t>
      </w:r>
    </w:p>
    <w:p w:rsidR="00277BF5"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bCs/>
          <w:color w:val="000000"/>
          <w:szCs w:val="24"/>
          <w:lang w:eastAsia="en-US"/>
        </w:rPr>
      </w:pPr>
      <w:r w:rsidRPr="00277BF5">
        <w:rPr>
          <w:rFonts w:ascii="Times New Roman" w:eastAsiaTheme="minorHAnsi" w:hAnsi="Times New Roman"/>
          <w:color w:val="000000"/>
          <w:szCs w:val="24"/>
          <w:lang w:eastAsia="en-US"/>
        </w:rPr>
        <w:t xml:space="preserve">Pur nella consapevolezza che previsioni, soprattutto nel breve termine, possano risultare condizionate da fatti </w:t>
      </w:r>
      <w:proofErr w:type="gramStart"/>
      <w:r w:rsidRPr="00277BF5">
        <w:rPr>
          <w:rFonts w:ascii="Times New Roman" w:eastAsiaTheme="minorHAnsi" w:hAnsi="Times New Roman"/>
          <w:color w:val="000000"/>
          <w:szCs w:val="24"/>
          <w:lang w:eastAsia="en-US"/>
        </w:rPr>
        <w:t>aleatori  si</w:t>
      </w:r>
      <w:proofErr w:type="gramEnd"/>
      <w:r w:rsidRPr="00277BF5">
        <w:rPr>
          <w:rFonts w:ascii="Times New Roman" w:eastAsiaTheme="minorHAnsi" w:hAnsi="Times New Roman"/>
          <w:color w:val="000000"/>
          <w:szCs w:val="24"/>
          <w:lang w:eastAsia="en-US"/>
        </w:rPr>
        <w:t xml:space="preserve"> è comunque pervenuti alla stima del rendimento del portafoglio della Fondazione</w:t>
      </w:r>
      <w:r w:rsidR="00800B8A" w:rsidRPr="00277BF5">
        <w:rPr>
          <w:rFonts w:ascii="Times New Roman" w:eastAsiaTheme="minorHAnsi" w:hAnsi="Times New Roman"/>
          <w:color w:val="000000"/>
          <w:szCs w:val="24"/>
          <w:lang w:eastAsia="en-US"/>
        </w:rPr>
        <w:t xml:space="preserve"> correlandolo al </w:t>
      </w:r>
      <w:r w:rsidRPr="00277BF5">
        <w:rPr>
          <w:rFonts w:ascii="Times New Roman" w:eastAsiaTheme="minorHAnsi" w:hAnsi="Times New Roman"/>
          <w:color w:val="000000"/>
          <w:szCs w:val="24"/>
          <w:lang w:eastAsia="en-US"/>
        </w:rPr>
        <w:t xml:space="preserve"> rendimento previsto di alcune classi di attività rischiose, prima fra tutte quella azionaria.</w:t>
      </w:r>
      <w:r w:rsidRPr="00277BF5">
        <w:rPr>
          <w:rFonts w:ascii="Times New Roman" w:eastAsiaTheme="minorHAnsi" w:hAnsi="Times New Roman"/>
          <w:bCs/>
          <w:color w:val="000000"/>
          <w:szCs w:val="24"/>
          <w:lang w:eastAsia="en-US"/>
        </w:rPr>
        <w:t xml:space="preserve"> </w:t>
      </w:r>
    </w:p>
    <w:p w:rsidR="00277BF5" w:rsidRDefault="00277BF5"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bCs/>
          <w:color w:val="000000"/>
          <w:szCs w:val="24"/>
          <w:lang w:eastAsia="en-US"/>
        </w:rPr>
      </w:pPr>
    </w:p>
    <w:p w:rsidR="00277BF5" w:rsidRPr="00A9463C" w:rsidRDefault="006221EE" w:rsidP="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color w:val="000000"/>
          <w:szCs w:val="24"/>
          <w:lang w:eastAsia="en-US"/>
        </w:rPr>
      </w:pPr>
      <w:r w:rsidRPr="00AB27B3">
        <w:rPr>
          <w:rFonts w:ascii="Times New Roman" w:eastAsiaTheme="minorHAnsi" w:hAnsi="Times New Roman"/>
          <w:bCs/>
          <w:color w:val="000000"/>
          <w:szCs w:val="24"/>
          <w:lang w:eastAsia="en-US"/>
        </w:rPr>
        <w:t xml:space="preserve">Dall’esame dei diversi scenari possibili </w:t>
      </w:r>
      <w:proofErr w:type="gramStart"/>
      <w:r w:rsidRPr="00AB27B3">
        <w:rPr>
          <w:rFonts w:ascii="Times New Roman" w:eastAsiaTheme="minorHAnsi" w:hAnsi="Times New Roman"/>
          <w:color w:val="000000"/>
          <w:szCs w:val="24"/>
          <w:lang w:eastAsia="en-US"/>
        </w:rPr>
        <w:t>e  dovendo</w:t>
      </w:r>
      <w:proofErr w:type="gramEnd"/>
      <w:r w:rsidRPr="00AB27B3">
        <w:rPr>
          <w:rFonts w:ascii="Times New Roman" w:eastAsiaTheme="minorHAnsi" w:hAnsi="Times New Roman"/>
          <w:color w:val="000000"/>
          <w:szCs w:val="24"/>
          <w:lang w:eastAsia="en-US"/>
        </w:rPr>
        <w:t xml:space="preserve"> sintetizzare  la stima del risultato di portafoglio per i prossimi anni in un singolo numero percentuale si è ritenuto opportuno  utilizzare il rendimento obiettivo annuo che</w:t>
      </w:r>
      <w:r w:rsidRPr="00AB27B3">
        <w:rPr>
          <w:rFonts w:ascii="Times New Roman" w:eastAsiaTheme="minorHAnsi" w:hAnsi="Times New Roman"/>
          <w:iCs/>
          <w:color w:val="000000"/>
          <w:szCs w:val="24"/>
          <w:lang w:eastAsia="en-US"/>
        </w:rPr>
        <w:t xml:space="preserve"> </w:t>
      </w:r>
      <w:r w:rsidRPr="00AB27B3">
        <w:rPr>
          <w:rFonts w:ascii="Times New Roman" w:eastAsiaTheme="minorHAnsi" w:hAnsi="Times New Roman"/>
          <w:color w:val="000000"/>
          <w:szCs w:val="24"/>
          <w:lang w:eastAsia="en-US"/>
        </w:rPr>
        <w:t xml:space="preserve">si attende verrà conseguito in un </w:t>
      </w:r>
      <w:r w:rsidRPr="00AB27B3">
        <w:rPr>
          <w:rFonts w:ascii="Times New Roman" w:eastAsiaTheme="minorHAnsi" w:hAnsi="Times New Roman"/>
          <w:bCs/>
          <w:color w:val="000000"/>
          <w:szCs w:val="24"/>
          <w:lang w:eastAsia="en-US"/>
        </w:rPr>
        <w:t>periodo di medio termine</w:t>
      </w:r>
      <w:r w:rsidRPr="00AB27B3">
        <w:rPr>
          <w:rFonts w:ascii="Times New Roman" w:eastAsiaTheme="minorHAnsi" w:hAnsi="Times New Roman"/>
          <w:color w:val="000000"/>
          <w:szCs w:val="24"/>
          <w:lang w:eastAsia="en-US"/>
        </w:rPr>
        <w:t xml:space="preserve">, vale a dire nell’arco di tre-cinque anni. Tale valore è calcolato utilizzando i rendimenti lordi oggi stimati  </w:t>
      </w:r>
      <w:r w:rsidRPr="00AB27B3">
        <w:rPr>
          <w:rFonts w:ascii="Times New Roman" w:eastAsiaTheme="minorHAnsi" w:hAnsi="Times New Roman"/>
          <w:iCs/>
          <w:color w:val="000000"/>
          <w:szCs w:val="24"/>
          <w:lang w:eastAsia="en-US"/>
        </w:rPr>
        <w:t xml:space="preserve"> </w:t>
      </w:r>
      <w:r w:rsidRPr="00AB27B3">
        <w:rPr>
          <w:rFonts w:ascii="Times New Roman" w:eastAsiaTheme="minorHAnsi" w:hAnsi="Times New Roman"/>
          <w:color w:val="000000"/>
          <w:szCs w:val="24"/>
          <w:lang w:eastAsia="en-US"/>
        </w:rPr>
        <w:t>nel medio termine per le componenti azionaria e alternative</w:t>
      </w:r>
      <w:r w:rsidR="00277BF5" w:rsidRPr="00AB27B3">
        <w:rPr>
          <w:rFonts w:ascii="Times New Roman" w:eastAsiaTheme="minorHAnsi" w:hAnsi="Times New Roman"/>
          <w:color w:val="000000"/>
          <w:szCs w:val="24"/>
          <w:lang w:eastAsia="en-US"/>
        </w:rPr>
        <w:t xml:space="preserve">, </w:t>
      </w:r>
      <w:r w:rsidR="00277BF5" w:rsidRPr="00AB27B3">
        <w:rPr>
          <w:rFonts w:ascii="Times New Roman" w:hAnsi="Times New Roman"/>
          <w:szCs w:val="24"/>
        </w:rPr>
        <w:t xml:space="preserve">tenuto conto della sua </w:t>
      </w:r>
      <w:r w:rsidR="00277BF5" w:rsidRPr="00AB27B3">
        <w:rPr>
          <w:rFonts w:ascii="Times New Roman" w:hAnsi="Times New Roman"/>
          <w:iCs/>
          <w:szCs w:val="24"/>
        </w:rPr>
        <w:t>asset allocation</w:t>
      </w:r>
      <w:r w:rsidR="00277BF5" w:rsidRPr="00AB27B3">
        <w:rPr>
          <w:rFonts w:ascii="Times New Roman" w:hAnsi="Times New Roman"/>
          <w:szCs w:val="24"/>
        </w:rPr>
        <w:t xml:space="preserve"> attuale. </w:t>
      </w:r>
    </w:p>
    <w:p w:rsidR="00277BF5" w:rsidRPr="00AB27B3" w:rsidRDefault="00277BF5" w:rsidP="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hAnsi="Times New Roman"/>
          <w:szCs w:val="24"/>
        </w:rPr>
      </w:pPr>
    </w:p>
    <w:p w:rsidR="00277BF5" w:rsidRPr="00277BF5" w:rsidRDefault="00277BF5" w:rsidP="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hAnsi="Times New Roman"/>
          <w:szCs w:val="24"/>
        </w:rPr>
      </w:pPr>
      <w:r w:rsidRPr="00AB27B3">
        <w:rPr>
          <w:rFonts w:ascii="Times New Roman" w:hAnsi="Times New Roman"/>
          <w:szCs w:val="24"/>
        </w:rPr>
        <w:t xml:space="preserve">Tale valore è calcolato utilizzando i rendimenti lordi oggi stimati da </w:t>
      </w:r>
      <w:proofErr w:type="spellStart"/>
      <w:r w:rsidRPr="00AB27B3">
        <w:rPr>
          <w:rFonts w:ascii="Times New Roman" w:hAnsi="Times New Roman"/>
          <w:iCs/>
          <w:szCs w:val="24"/>
        </w:rPr>
        <w:t>Nextam</w:t>
      </w:r>
      <w:proofErr w:type="spellEnd"/>
      <w:r w:rsidRPr="00AB27B3">
        <w:rPr>
          <w:rFonts w:ascii="Times New Roman" w:hAnsi="Times New Roman"/>
          <w:iCs/>
          <w:szCs w:val="24"/>
        </w:rPr>
        <w:t xml:space="preserve"> Partners</w:t>
      </w:r>
      <w:r w:rsidRPr="00AB27B3">
        <w:rPr>
          <w:rFonts w:ascii="Times New Roman" w:hAnsi="Times New Roman"/>
          <w:szCs w:val="24"/>
        </w:rPr>
        <w:t xml:space="preserve"> nel medio termine per le componenti azionaria e alternativa e non i dati puntuali ricavati per esempio da</w:t>
      </w:r>
      <w:r w:rsidRPr="00AB27B3">
        <w:rPr>
          <w:rFonts w:ascii="Times New Roman" w:hAnsi="Times New Roman"/>
          <w:bCs/>
          <w:szCs w:val="24"/>
        </w:rPr>
        <w:t>l</w:t>
      </w:r>
      <w:r w:rsidRPr="00AB27B3">
        <w:rPr>
          <w:rFonts w:ascii="Times New Roman" w:hAnsi="Times New Roman"/>
          <w:szCs w:val="24"/>
        </w:rPr>
        <w:t xml:space="preserve"> </w:t>
      </w:r>
      <w:proofErr w:type="spellStart"/>
      <w:r w:rsidRPr="00AB27B3">
        <w:rPr>
          <w:rFonts w:ascii="Times New Roman" w:hAnsi="Times New Roman"/>
          <w:szCs w:val="24"/>
        </w:rPr>
        <w:t>d</w:t>
      </w:r>
      <w:r w:rsidRPr="00AB27B3">
        <w:rPr>
          <w:rFonts w:ascii="Times New Roman" w:hAnsi="Times New Roman"/>
          <w:iCs/>
          <w:szCs w:val="24"/>
        </w:rPr>
        <w:t>ividen</w:t>
      </w:r>
      <w:r w:rsidRPr="00AB27B3">
        <w:rPr>
          <w:rFonts w:ascii="Times New Roman" w:hAnsi="Times New Roman"/>
          <w:bCs/>
          <w:szCs w:val="24"/>
        </w:rPr>
        <w:t>d</w:t>
      </w:r>
      <w:proofErr w:type="spellEnd"/>
      <w:r w:rsidRPr="00AB27B3">
        <w:rPr>
          <w:rFonts w:ascii="Times New Roman" w:hAnsi="Times New Roman"/>
          <w:iCs/>
          <w:szCs w:val="24"/>
        </w:rPr>
        <w:t xml:space="preserve"> yield</w:t>
      </w:r>
      <w:r w:rsidRPr="00AB27B3">
        <w:rPr>
          <w:rFonts w:ascii="Times New Roman" w:hAnsi="Times New Roman"/>
          <w:szCs w:val="24"/>
        </w:rPr>
        <w:t xml:space="preserve"> dei fondi in cui si è investito</w:t>
      </w:r>
      <w:r w:rsidRPr="00277BF5">
        <w:rPr>
          <w:rFonts w:ascii="Times New Roman" w:hAnsi="Times New Roman"/>
          <w:szCs w:val="24"/>
        </w:rPr>
        <w:t>.</w:t>
      </w:r>
    </w:p>
    <w:p w:rsidR="00277BF5" w:rsidRPr="00277BF5" w:rsidRDefault="00277BF5" w:rsidP="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color w:val="000000"/>
          <w:szCs w:val="24"/>
          <w:lang w:eastAsia="en-US"/>
        </w:rPr>
      </w:pPr>
    </w:p>
    <w:p w:rsidR="00AB27B3" w:rsidRDefault="00277BF5" w:rsidP="00277BF5">
      <w:pPr>
        <w:pStyle w:val="Style7"/>
        <w:widowControl w:val="0"/>
        <w:kinsoku w:val="0"/>
        <w:autoSpaceDE/>
        <w:autoSpaceDN/>
        <w:adjustRightInd/>
        <w:jc w:val="both"/>
        <w:rPr>
          <w:sz w:val="24"/>
          <w:szCs w:val="24"/>
        </w:rPr>
      </w:pPr>
      <w:r w:rsidRPr="00564056">
        <w:rPr>
          <w:sz w:val="24"/>
          <w:szCs w:val="24"/>
        </w:rPr>
        <w:t xml:space="preserve">Trattandosi di una stima di medio-lungo periodo non </w:t>
      </w:r>
      <w:r>
        <w:rPr>
          <w:sz w:val="24"/>
          <w:szCs w:val="24"/>
        </w:rPr>
        <w:t>si utilizza</w:t>
      </w:r>
      <w:r w:rsidRPr="00564056">
        <w:rPr>
          <w:sz w:val="24"/>
          <w:szCs w:val="24"/>
        </w:rPr>
        <w:t xml:space="preserve"> in questo caso la distinzione tra portafoglio libero </w:t>
      </w:r>
      <w:r>
        <w:rPr>
          <w:sz w:val="24"/>
          <w:szCs w:val="24"/>
        </w:rPr>
        <w:t xml:space="preserve">e immobilizzato, ma </w:t>
      </w:r>
      <w:proofErr w:type="gramStart"/>
      <w:r>
        <w:rPr>
          <w:sz w:val="24"/>
          <w:szCs w:val="24"/>
        </w:rPr>
        <w:t xml:space="preserve">valorizzando </w:t>
      </w:r>
      <w:r w:rsidRPr="00564056">
        <w:rPr>
          <w:sz w:val="24"/>
          <w:szCs w:val="24"/>
        </w:rPr>
        <w:t xml:space="preserve"> tutti</w:t>
      </w:r>
      <w:proofErr w:type="gramEnd"/>
      <w:r w:rsidRPr="00564056">
        <w:rPr>
          <w:sz w:val="24"/>
          <w:szCs w:val="24"/>
        </w:rPr>
        <w:t xml:space="preserve"> gli str</w:t>
      </w:r>
      <w:r>
        <w:rPr>
          <w:sz w:val="24"/>
          <w:szCs w:val="24"/>
        </w:rPr>
        <w:t xml:space="preserve">umenti a mercato.  </w:t>
      </w:r>
    </w:p>
    <w:p w:rsidR="00AB27B3" w:rsidRDefault="00AB27B3" w:rsidP="00277BF5">
      <w:pPr>
        <w:pStyle w:val="Style7"/>
        <w:widowControl w:val="0"/>
        <w:kinsoku w:val="0"/>
        <w:autoSpaceDE/>
        <w:autoSpaceDN/>
        <w:adjustRightInd/>
        <w:jc w:val="both"/>
        <w:rPr>
          <w:sz w:val="24"/>
          <w:szCs w:val="24"/>
        </w:rPr>
      </w:pPr>
    </w:p>
    <w:p w:rsidR="00433EBE" w:rsidRDefault="00277BF5" w:rsidP="00277BF5">
      <w:pPr>
        <w:pStyle w:val="Style7"/>
        <w:widowControl w:val="0"/>
        <w:kinsoku w:val="0"/>
        <w:autoSpaceDE/>
        <w:autoSpaceDN/>
        <w:adjustRightInd/>
        <w:jc w:val="both"/>
        <w:rPr>
          <w:sz w:val="24"/>
          <w:szCs w:val="24"/>
        </w:rPr>
      </w:pPr>
      <w:r>
        <w:rPr>
          <w:sz w:val="24"/>
          <w:szCs w:val="24"/>
        </w:rPr>
        <w:t>I</w:t>
      </w:r>
      <w:r w:rsidRPr="00564056">
        <w:rPr>
          <w:sz w:val="24"/>
          <w:szCs w:val="24"/>
        </w:rPr>
        <w:t>l rendimento annuo lordo obiettivo di medio termine</w:t>
      </w:r>
      <w:r w:rsidR="000D6EB4">
        <w:rPr>
          <w:sz w:val="24"/>
          <w:szCs w:val="24"/>
        </w:rPr>
        <w:t xml:space="preserve">, </w:t>
      </w:r>
      <w:r w:rsidRPr="00564056">
        <w:rPr>
          <w:sz w:val="24"/>
          <w:szCs w:val="24"/>
        </w:rPr>
        <w:t xml:space="preserve">in un contesto </w:t>
      </w:r>
      <w:proofErr w:type="gramStart"/>
      <w:r w:rsidRPr="00564056">
        <w:rPr>
          <w:sz w:val="24"/>
          <w:szCs w:val="24"/>
        </w:rPr>
        <w:t xml:space="preserve">di </w:t>
      </w:r>
      <w:r w:rsidR="000D6EB4">
        <w:rPr>
          <w:sz w:val="24"/>
          <w:szCs w:val="24"/>
        </w:rPr>
        <w:t xml:space="preserve"> scenario</w:t>
      </w:r>
      <w:proofErr w:type="gramEnd"/>
      <w:r w:rsidR="000D6EB4">
        <w:rPr>
          <w:sz w:val="24"/>
          <w:szCs w:val="24"/>
        </w:rPr>
        <w:t xml:space="preserve"> base </w:t>
      </w:r>
      <w:r w:rsidR="00433EBE">
        <w:rPr>
          <w:sz w:val="24"/>
          <w:szCs w:val="24"/>
        </w:rPr>
        <w:t>ovvero con un rendimento atteso del mercato azionario pari al 5%</w:t>
      </w:r>
      <w:r w:rsidR="000D6EB4">
        <w:rPr>
          <w:sz w:val="24"/>
          <w:szCs w:val="24"/>
        </w:rPr>
        <w:t xml:space="preserve">, è </w:t>
      </w:r>
      <w:r w:rsidR="00433EBE">
        <w:rPr>
          <w:sz w:val="24"/>
          <w:szCs w:val="24"/>
        </w:rPr>
        <w:t xml:space="preserve"> </w:t>
      </w:r>
      <w:r w:rsidR="005442F6">
        <w:rPr>
          <w:sz w:val="24"/>
          <w:szCs w:val="24"/>
        </w:rPr>
        <w:t xml:space="preserve">calcolato </w:t>
      </w:r>
      <w:r w:rsidR="00433EBE">
        <w:rPr>
          <w:sz w:val="24"/>
          <w:szCs w:val="24"/>
        </w:rPr>
        <w:t>sulla base dei seguenti parametri di portafoglio:</w:t>
      </w:r>
    </w:p>
    <w:p w:rsidR="00433EBE" w:rsidRDefault="00433EBE" w:rsidP="00277BF5">
      <w:pPr>
        <w:pStyle w:val="Style7"/>
        <w:widowControl w:val="0"/>
        <w:kinsoku w:val="0"/>
        <w:autoSpaceDE/>
        <w:autoSpaceDN/>
        <w:adjustRightInd/>
        <w:jc w:val="both"/>
        <w:rPr>
          <w:sz w:val="24"/>
          <w:szCs w:val="24"/>
        </w:rPr>
      </w:pPr>
      <w:r>
        <w:rPr>
          <w:sz w:val="24"/>
          <w:szCs w:val="24"/>
        </w:rPr>
        <w:t>controvalore totale € 4</w:t>
      </w:r>
      <w:r w:rsidR="00D121A6">
        <w:rPr>
          <w:sz w:val="24"/>
          <w:szCs w:val="24"/>
        </w:rPr>
        <w:t>1.510.000,00</w:t>
      </w:r>
      <w:r>
        <w:rPr>
          <w:sz w:val="24"/>
          <w:szCs w:val="24"/>
        </w:rPr>
        <w:t xml:space="preserve"> </w:t>
      </w:r>
      <w:r w:rsidR="00B97E55">
        <w:rPr>
          <w:sz w:val="24"/>
          <w:szCs w:val="24"/>
        </w:rPr>
        <w:t>(</w:t>
      </w:r>
      <w:proofErr w:type="gramStart"/>
      <w:r w:rsidR="00B97E55">
        <w:rPr>
          <w:sz w:val="24"/>
          <w:szCs w:val="24"/>
        </w:rPr>
        <w:t xml:space="preserve">esclusa </w:t>
      </w:r>
      <w:r>
        <w:rPr>
          <w:sz w:val="24"/>
          <w:szCs w:val="24"/>
        </w:rPr>
        <w:t xml:space="preserve"> la</w:t>
      </w:r>
      <w:proofErr w:type="gramEnd"/>
      <w:r>
        <w:rPr>
          <w:sz w:val="24"/>
          <w:szCs w:val="24"/>
        </w:rPr>
        <w:t xml:space="preserve"> partecipazione in CDP</w:t>
      </w:r>
      <w:r w:rsidR="00B97E55">
        <w:rPr>
          <w:sz w:val="24"/>
          <w:szCs w:val="24"/>
        </w:rPr>
        <w:t>)</w:t>
      </w:r>
      <w:r>
        <w:rPr>
          <w:sz w:val="24"/>
          <w:szCs w:val="24"/>
        </w:rPr>
        <w:t>;</w:t>
      </w:r>
    </w:p>
    <w:p w:rsidR="00433EBE" w:rsidRDefault="00433EBE" w:rsidP="00277BF5">
      <w:pPr>
        <w:pStyle w:val="Style7"/>
        <w:widowControl w:val="0"/>
        <w:kinsoku w:val="0"/>
        <w:autoSpaceDE/>
        <w:autoSpaceDN/>
        <w:adjustRightInd/>
        <w:jc w:val="both"/>
        <w:rPr>
          <w:sz w:val="24"/>
          <w:szCs w:val="24"/>
        </w:rPr>
      </w:pPr>
      <w:r>
        <w:rPr>
          <w:sz w:val="24"/>
          <w:szCs w:val="24"/>
        </w:rPr>
        <w:t xml:space="preserve">Totale azionario </w:t>
      </w:r>
      <w:r>
        <w:rPr>
          <w:sz w:val="24"/>
          <w:szCs w:val="24"/>
        </w:rPr>
        <w:tab/>
      </w:r>
      <w:r>
        <w:rPr>
          <w:sz w:val="24"/>
          <w:szCs w:val="24"/>
        </w:rPr>
        <w:tab/>
      </w:r>
      <w:r>
        <w:rPr>
          <w:sz w:val="24"/>
          <w:szCs w:val="24"/>
        </w:rPr>
        <w:tab/>
      </w:r>
      <w:r>
        <w:rPr>
          <w:sz w:val="24"/>
          <w:szCs w:val="24"/>
        </w:rPr>
        <w:tab/>
        <w:t xml:space="preserve"> </w:t>
      </w:r>
      <w:r w:rsidR="00D121A6">
        <w:rPr>
          <w:sz w:val="24"/>
          <w:szCs w:val="24"/>
        </w:rPr>
        <w:t>25,8</w:t>
      </w:r>
      <w:r>
        <w:rPr>
          <w:sz w:val="24"/>
          <w:szCs w:val="24"/>
        </w:rPr>
        <w:t>%</w:t>
      </w:r>
    </w:p>
    <w:p w:rsidR="00433EBE" w:rsidRDefault="00433EBE" w:rsidP="00277BF5">
      <w:pPr>
        <w:pStyle w:val="Style7"/>
        <w:widowControl w:val="0"/>
        <w:kinsoku w:val="0"/>
        <w:autoSpaceDE/>
        <w:autoSpaceDN/>
        <w:adjustRightInd/>
        <w:jc w:val="both"/>
        <w:rPr>
          <w:sz w:val="24"/>
          <w:szCs w:val="24"/>
        </w:rPr>
      </w:pPr>
      <w:r>
        <w:rPr>
          <w:sz w:val="24"/>
          <w:szCs w:val="24"/>
        </w:rPr>
        <w:t xml:space="preserve">Totale </w:t>
      </w:r>
      <w:r w:rsidR="00D121A6">
        <w:rPr>
          <w:sz w:val="24"/>
          <w:szCs w:val="24"/>
        </w:rPr>
        <w:t xml:space="preserve">bilanciato e </w:t>
      </w:r>
      <w:r>
        <w:rPr>
          <w:sz w:val="24"/>
          <w:szCs w:val="24"/>
        </w:rPr>
        <w:t>obbligazionario</w:t>
      </w:r>
      <w:r>
        <w:rPr>
          <w:sz w:val="24"/>
          <w:szCs w:val="24"/>
        </w:rPr>
        <w:tab/>
      </w:r>
      <w:r>
        <w:rPr>
          <w:sz w:val="24"/>
          <w:szCs w:val="24"/>
        </w:rPr>
        <w:tab/>
        <w:t xml:space="preserve"> </w:t>
      </w:r>
      <w:r w:rsidR="00D121A6">
        <w:rPr>
          <w:sz w:val="24"/>
          <w:szCs w:val="24"/>
        </w:rPr>
        <w:t>60,8</w:t>
      </w:r>
      <w:r>
        <w:rPr>
          <w:sz w:val="24"/>
          <w:szCs w:val="24"/>
        </w:rPr>
        <w:t>%</w:t>
      </w:r>
    </w:p>
    <w:p w:rsidR="00D121A6" w:rsidRDefault="00D121A6" w:rsidP="00277BF5">
      <w:pPr>
        <w:pStyle w:val="Style7"/>
        <w:widowControl w:val="0"/>
        <w:kinsoku w:val="0"/>
        <w:autoSpaceDE/>
        <w:autoSpaceDN/>
        <w:adjustRightInd/>
        <w:jc w:val="both"/>
        <w:rPr>
          <w:sz w:val="24"/>
          <w:szCs w:val="24"/>
        </w:rPr>
      </w:pPr>
      <w:r>
        <w:rPr>
          <w:sz w:val="24"/>
          <w:szCs w:val="24"/>
        </w:rPr>
        <w:t>Totale monetario\liquidità</w:t>
      </w:r>
      <w:r>
        <w:rPr>
          <w:sz w:val="24"/>
          <w:szCs w:val="24"/>
        </w:rPr>
        <w:tab/>
      </w:r>
      <w:r>
        <w:rPr>
          <w:sz w:val="24"/>
          <w:szCs w:val="24"/>
        </w:rPr>
        <w:tab/>
      </w:r>
      <w:r>
        <w:rPr>
          <w:sz w:val="24"/>
          <w:szCs w:val="24"/>
        </w:rPr>
        <w:tab/>
        <w:t xml:space="preserve">  </w:t>
      </w:r>
      <w:r w:rsidR="00B97E55">
        <w:rPr>
          <w:sz w:val="24"/>
          <w:szCs w:val="24"/>
        </w:rPr>
        <w:t xml:space="preserve"> </w:t>
      </w:r>
      <w:r>
        <w:rPr>
          <w:sz w:val="24"/>
          <w:szCs w:val="24"/>
        </w:rPr>
        <w:t>9,9%</w:t>
      </w:r>
      <w:r>
        <w:rPr>
          <w:sz w:val="24"/>
          <w:szCs w:val="24"/>
        </w:rPr>
        <w:tab/>
      </w:r>
      <w:r>
        <w:rPr>
          <w:sz w:val="24"/>
          <w:szCs w:val="24"/>
        </w:rPr>
        <w:tab/>
      </w:r>
      <w:r>
        <w:rPr>
          <w:sz w:val="24"/>
          <w:szCs w:val="24"/>
        </w:rPr>
        <w:tab/>
      </w:r>
    </w:p>
    <w:p w:rsidR="00433EBE" w:rsidRDefault="00433EBE" w:rsidP="00277BF5">
      <w:pPr>
        <w:pStyle w:val="Style7"/>
        <w:widowControl w:val="0"/>
        <w:kinsoku w:val="0"/>
        <w:autoSpaceDE/>
        <w:autoSpaceDN/>
        <w:adjustRightInd/>
        <w:jc w:val="both"/>
        <w:rPr>
          <w:sz w:val="24"/>
          <w:szCs w:val="24"/>
        </w:rPr>
      </w:pPr>
      <w:r>
        <w:rPr>
          <w:sz w:val="24"/>
          <w:szCs w:val="24"/>
        </w:rPr>
        <w:t>Totale alternativi</w:t>
      </w:r>
      <w:r>
        <w:rPr>
          <w:sz w:val="24"/>
          <w:szCs w:val="24"/>
        </w:rPr>
        <w:tab/>
      </w:r>
      <w:r>
        <w:rPr>
          <w:sz w:val="24"/>
          <w:szCs w:val="24"/>
        </w:rPr>
        <w:tab/>
      </w:r>
      <w:r>
        <w:rPr>
          <w:sz w:val="24"/>
          <w:szCs w:val="24"/>
        </w:rPr>
        <w:tab/>
      </w:r>
      <w:r>
        <w:rPr>
          <w:sz w:val="24"/>
          <w:szCs w:val="24"/>
        </w:rPr>
        <w:tab/>
        <w:t xml:space="preserve">   3,</w:t>
      </w:r>
      <w:r w:rsidR="00D121A6">
        <w:rPr>
          <w:sz w:val="24"/>
          <w:szCs w:val="24"/>
        </w:rPr>
        <w:t>5</w:t>
      </w:r>
      <w:r>
        <w:rPr>
          <w:sz w:val="24"/>
          <w:szCs w:val="24"/>
        </w:rPr>
        <w:t>%</w:t>
      </w:r>
      <w:r>
        <w:rPr>
          <w:sz w:val="24"/>
          <w:szCs w:val="24"/>
        </w:rPr>
        <w:tab/>
      </w:r>
    </w:p>
    <w:p w:rsidR="00433EBE" w:rsidRDefault="00433EBE" w:rsidP="00277BF5">
      <w:pPr>
        <w:pStyle w:val="Style7"/>
        <w:widowControl w:val="0"/>
        <w:kinsoku w:val="0"/>
        <w:autoSpaceDE/>
        <w:autoSpaceDN/>
        <w:adjustRightInd/>
        <w:jc w:val="both"/>
        <w:rPr>
          <w:sz w:val="24"/>
          <w:szCs w:val="24"/>
        </w:rPr>
      </w:pPr>
    </w:p>
    <w:p w:rsidR="005442F6" w:rsidRPr="00032B75" w:rsidRDefault="00433EBE" w:rsidP="00277BF5">
      <w:pPr>
        <w:pStyle w:val="Style7"/>
        <w:widowControl w:val="0"/>
        <w:kinsoku w:val="0"/>
        <w:autoSpaceDE/>
        <w:autoSpaceDN/>
        <w:adjustRightInd/>
        <w:jc w:val="both"/>
        <w:rPr>
          <w:b/>
          <w:sz w:val="24"/>
          <w:szCs w:val="24"/>
        </w:rPr>
      </w:pPr>
      <w:r w:rsidRPr="00032B75">
        <w:rPr>
          <w:b/>
          <w:sz w:val="24"/>
          <w:szCs w:val="24"/>
        </w:rPr>
        <w:lastRenderedPageBreak/>
        <w:t xml:space="preserve">Rendimento </w:t>
      </w:r>
      <w:r w:rsidR="00C06691">
        <w:rPr>
          <w:b/>
          <w:sz w:val="24"/>
          <w:szCs w:val="24"/>
        </w:rPr>
        <w:t xml:space="preserve">lordo </w:t>
      </w:r>
      <w:proofErr w:type="gramStart"/>
      <w:r w:rsidRPr="00032B75">
        <w:rPr>
          <w:b/>
          <w:sz w:val="24"/>
          <w:szCs w:val="24"/>
        </w:rPr>
        <w:t xml:space="preserve">medio: </w:t>
      </w:r>
      <w:r w:rsidR="005442F6" w:rsidRPr="00032B75">
        <w:rPr>
          <w:b/>
          <w:sz w:val="24"/>
          <w:szCs w:val="24"/>
        </w:rPr>
        <w:t xml:space="preserve"> </w:t>
      </w:r>
      <w:r w:rsidR="00B97E55">
        <w:rPr>
          <w:b/>
          <w:sz w:val="24"/>
          <w:szCs w:val="24"/>
        </w:rPr>
        <w:t>2</w:t>
      </w:r>
      <w:proofErr w:type="gramEnd"/>
      <w:r w:rsidR="00B97E55">
        <w:rPr>
          <w:b/>
          <w:sz w:val="24"/>
          <w:szCs w:val="24"/>
        </w:rPr>
        <w:t>,53</w:t>
      </w:r>
      <w:r w:rsidR="005442F6" w:rsidRPr="00032B75">
        <w:rPr>
          <w:b/>
          <w:sz w:val="24"/>
          <w:szCs w:val="24"/>
        </w:rPr>
        <w:t xml:space="preserve"> %  </w:t>
      </w:r>
    </w:p>
    <w:p w:rsidR="005442F6" w:rsidRDefault="005442F6" w:rsidP="00277BF5">
      <w:pPr>
        <w:pStyle w:val="Style7"/>
        <w:widowControl w:val="0"/>
        <w:kinsoku w:val="0"/>
        <w:autoSpaceDE/>
        <w:autoSpaceDN/>
        <w:adjustRightInd/>
        <w:jc w:val="both"/>
        <w:rPr>
          <w:sz w:val="24"/>
          <w:szCs w:val="24"/>
        </w:rPr>
      </w:pPr>
    </w:p>
    <w:p w:rsidR="006221EE" w:rsidRPr="00277BF5" w:rsidRDefault="00B45E94" w:rsidP="006221EE">
      <w:pPr>
        <w:ind w:right="-1"/>
        <w:rPr>
          <w:rFonts w:ascii="Times New Roman" w:hAnsi="Times New Roman"/>
          <w:bCs/>
          <w:iCs/>
          <w:szCs w:val="24"/>
        </w:rPr>
      </w:pPr>
      <w:r w:rsidRPr="00277BF5">
        <w:rPr>
          <w:rFonts w:ascii="Times New Roman" w:hAnsi="Times New Roman"/>
          <w:szCs w:val="24"/>
        </w:rPr>
        <w:t>Per l’anno 202</w:t>
      </w:r>
      <w:r w:rsidR="005442F6">
        <w:rPr>
          <w:rFonts w:ascii="Times New Roman" w:hAnsi="Times New Roman"/>
          <w:szCs w:val="24"/>
        </w:rPr>
        <w:t>1</w:t>
      </w:r>
      <w:r w:rsidR="006221EE" w:rsidRPr="00277BF5">
        <w:rPr>
          <w:rFonts w:ascii="Times New Roman" w:hAnsi="Times New Roman"/>
          <w:szCs w:val="24"/>
        </w:rPr>
        <w:t xml:space="preserve"> si prevede una composizione simile per i diversi portafogli, </w:t>
      </w:r>
      <w:proofErr w:type="gramStart"/>
      <w:r w:rsidR="006221EE" w:rsidRPr="00277BF5">
        <w:rPr>
          <w:rFonts w:ascii="Times New Roman" w:hAnsi="Times New Roman"/>
          <w:szCs w:val="24"/>
        </w:rPr>
        <w:t xml:space="preserve">vicina </w:t>
      </w:r>
      <w:r w:rsidR="00E37C58" w:rsidRPr="00277BF5">
        <w:rPr>
          <w:rFonts w:ascii="Times New Roman" w:hAnsi="Times New Roman"/>
          <w:szCs w:val="24"/>
        </w:rPr>
        <w:t xml:space="preserve"> al</w:t>
      </w:r>
      <w:proofErr w:type="gramEnd"/>
      <w:r w:rsidR="00E37C58" w:rsidRPr="00277BF5">
        <w:rPr>
          <w:rFonts w:ascii="Times New Roman" w:hAnsi="Times New Roman"/>
          <w:szCs w:val="24"/>
        </w:rPr>
        <w:t xml:space="preserve"> </w:t>
      </w:r>
      <w:r w:rsidR="006221EE" w:rsidRPr="00277BF5">
        <w:rPr>
          <w:rFonts w:ascii="Times New Roman" w:hAnsi="Times New Roman"/>
          <w:szCs w:val="24"/>
        </w:rPr>
        <w:t xml:space="preserve"> </w:t>
      </w:r>
      <w:r w:rsidR="006221EE" w:rsidRPr="00277BF5">
        <w:rPr>
          <w:rFonts w:ascii="Times New Roman" w:hAnsi="Times New Roman"/>
          <w:bCs/>
          <w:iCs/>
          <w:szCs w:val="24"/>
        </w:rPr>
        <w:t xml:space="preserve">benchmark </w:t>
      </w:r>
      <w:r w:rsidR="006221EE" w:rsidRPr="00277BF5">
        <w:rPr>
          <w:rFonts w:ascii="Times New Roman" w:hAnsi="Times New Roman"/>
          <w:szCs w:val="24"/>
        </w:rPr>
        <w:t>di riferimento.</w:t>
      </w:r>
    </w:p>
    <w:p w:rsidR="003077A2" w:rsidRDefault="003077A2" w:rsidP="006C524F">
      <w:pPr>
        <w:pStyle w:val="Delibera"/>
        <w:spacing w:line="240" w:lineRule="auto"/>
        <w:ind w:right="-1"/>
        <w:rPr>
          <w:bCs/>
          <w:iCs/>
          <w:szCs w:val="24"/>
        </w:rPr>
      </w:pPr>
    </w:p>
    <w:p w:rsidR="006221EE" w:rsidRPr="00B45E94" w:rsidRDefault="006221EE" w:rsidP="006C524F">
      <w:pPr>
        <w:pStyle w:val="Delibera"/>
        <w:spacing w:line="240" w:lineRule="auto"/>
        <w:ind w:right="-1"/>
        <w:rPr>
          <w:bCs/>
          <w:iCs/>
          <w:szCs w:val="24"/>
        </w:rPr>
      </w:pPr>
      <w:r w:rsidRPr="00B45E94">
        <w:rPr>
          <w:bCs/>
          <w:iCs/>
          <w:szCs w:val="24"/>
        </w:rPr>
        <w:t>In dettaglio:</w:t>
      </w:r>
    </w:p>
    <w:p w:rsidR="005442F6" w:rsidRDefault="005442F6" w:rsidP="00B45E94">
      <w:pPr>
        <w:rPr>
          <w:rFonts w:ascii="Times New Roman" w:hAnsi="Times New Roman"/>
          <w:b/>
          <w:sz w:val="22"/>
          <w:szCs w:val="22"/>
        </w:rPr>
      </w:pPr>
    </w:p>
    <w:p w:rsidR="0066346B" w:rsidRDefault="00B45E94" w:rsidP="00B45E94">
      <w:pPr>
        <w:rPr>
          <w:rFonts w:ascii="Times New Roman" w:hAnsi="Times New Roman"/>
          <w:b/>
          <w:szCs w:val="24"/>
          <w:u w:val="single"/>
        </w:rPr>
      </w:pPr>
      <w:r w:rsidRPr="0066346B">
        <w:rPr>
          <w:rFonts w:ascii="Times New Roman" w:hAnsi="Times New Roman"/>
          <w:b/>
          <w:szCs w:val="24"/>
          <w:u w:val="single"/>
        </w:rPr>
        <w:t xml:space="preserve">PROVENTI  </w:t>
      </w:r>
    </w:p>
    <w:p w:rsidR="0066346B" w:rsidRPr="0066346B" w:rsidRDefault="0066346B" w:rsidP="00B45E94">
      <w:pPr>
        <w:rPr>
          <w:rFonts w:ascii="Times New Roman" w:hAnsi="Times New Roman"/>
          <w:b/>
          <w:szCs w:val="24"/>
          <w:u w:val="single"/>
        </w:rPr>
      </w:pPr>
    </w:p>
    <w:p w:rsidR="00B45E94" w:rsidRPr="0066346B" w:rsidRDefault="00B45E94" w:rsidP="00B45E94">
      <w:pPr>
        <w:rPr>
          <w:rFonts w:ascii="Times New Roman" w:hAnsi="Times New Roman"/>
          <w:b/>
          <w:sz w:val="22"/>
          <w:szCs w:val="22"/>
        </w:rPr>
      </w:pPr>
      <w:r w:rsidRPr="0066346B">
        <w:rPr>
          <w:rFonts w:ascii="Times New Roman Grassetto" w:hAnsi="Times New Roman Grassetto"/>
          <w:b/>
          <w:smallCaps/>
          <w:sz w:val="22"/>
          <w:szCs w:val="22"/>
        </w:rPr>
        <w:t>GESTIONI PATRIMONIALI</w:t>
      </w:r>
    </w:p>
    <w:p w:rsidR="00B45E94" w:rsidRPr="00B45E94" w:rsidRDefault="00B45E94" w:rsidP="00B45E94">
      <w:pPr>
        <w:rPr>
          <w:rFonts w:ascii="Times New Roman" w:hAnsi="Times New Roman"/>
          <w:b/>
          <w:sz w:val="22"/>
          <w:szCs w:val="22"/>
        </w:rPr>
      </w:pPr>
    </w:p>
    <w:tbl>
      <w:tblPr>
        <w:tblW w:w="91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68"/>
        <w:gridCol w:w="1242"/>
        <w:gridCol w:w="1232"/>
        <w:gridCol w:w="6"/>
        <w:gridCol w:w="1411"/>
        <w:gridCol w:w="6"/>
        <w:gridCol w:w="1785"/>
        <w:gridCol w:w="6"/>
      </w:tblGrid>
      <w:tr w:rsidR="00B45E94" w:rsidRPr="00B45E94" w:rsidTr="000D6EB4">
        <w:tc>
          <w:tcPr>
            <w:tcW w:w="1701" w:type="dxa"/>
          </w:tcPr>
          <w:p w:rsidR="00B45E94" w:rsidRPr="00B45E94" w:rsidRDefault="00B45E94" w:rsidP="00B45E94">
            <w:pPr>
              <w:pStyle w:val="Titolo1"/>
              <w:rPr>
                <w:sz w:val="22"/>
                <w:szCs w:val="22"/>
              </w:rPr>
            </w:pPr>
          </w:p>
        </w:tc>
        <w:tc>
          <w:tcPr>
            <w:tcW w:w="4248" w:type="dxa"/>
            <w:gridSpan w:val="4"/>
          </w:tcPr>
          <w:p w:rsidR="00B45E94" w:rsidRPr="00B45E94" w:rsidRDefault="00B45E94" w:rsidP="00B45E94">
            <w:pPr>
              <w:jc w:val="center"/>
              <w:rPr>
                <w:rFonts w:ascii="Times New Roman" w:hAnsi="Times New Roman"/>
                <w:bCs/>
                <w:szCs w:val="22"/>
              </w:rPr>
            </w:pPr>
            <w:r w:rsidRPr="00B45E94">
              <w:rPr>
                <w:rFonts w:ascii="Times New Roman" w:hAnsi="Times New Roman"/>
                <w:bCs/>
                <w:sz w:val="22"/>
                <w:szCs w:val="22"/>
              </w:rPr>
              <w:t>DPP 202</w:t>
            </w:r>
            <w:r w:rsidR="00D952AD">
              <w:rPr>
                <w:rFonts w:ascii="Times New Roman" w:hAnsi="Times New Roman"/>
                <w:bCs/>
                <w:sz w:val="22"/>
                <w:szCs w:val="22"/>
              </w:rPr>
              <w:t>1</w:t>
            </w:r>
          </w:p>
        </w:tc>
        <w:tc>
          <w:tcPr>
            <w:tcW w:w="1417" w:type="dxa"/>
            <w:gridSpan w:val="2"/>
          </w:tcPr>
          <w:p w:rsidR="00B45E94" w:rsidRPr="00B45E94" w:rsidRDefault="00B45E94" w:rsidP="00B45E94">
            <w:pPr>
              <w:jc w:val="center"/>
              <w:rPr>
                <w:rFonts w:ascii="Times New Roman" w:hAnsi="Times New Roman"/>
                <w:bCs/>
                <w:i/>
                <w:szCs w:val="22"/>
              </w:rPr>
            </w:pPr>
            <w:r w:rsidRPr="00B45E94">
              <w:rPr>
                <w:rFonts w:ascii="Times New Roman" w:hAnsi="Times New Roman"/>
                <w:bCs/>
                <w:i/>
                <w:sz w:val="22"/>
                <w:szCs w:val="22"/>
              </w:rPr>
              <w:t>DPP 20</w:t>
            </w:r>
            <w:r w:rsidR="00E012F1">
              <w:rPr>
                <w:rFonts w:ascii="Times New Roman" w:hAnsi="Times New Roman"/>
                <w:bCs/>
                <w:i/>
                <w:sz w:val="22"/>
                <w:szCs w:val="22"/>
              </w:rPr>
              <w:t>20</w:t>
            </w:r>
          </w:p>
        </w:tc>
        <w:tc>
          <w:tcPr>
            <w:tcW w:w="1791" w:type="dxa"/>
            <w:gridSpan w:val="2"/>
          </w:tcPr>
          <w:p w:rsidR="00B45E94" w:rsidRPr="00B45E94" w:rsidRDefault="006D2BE1" w:rsidP="006D2BE1">
            <w:pPr>
              <w:pStyle w:val="Delibera"/>
              <w:spacing w:line="240" w:lineRule="auto"/>
              <w:jc w:val="center"/>
              <w:rPr>
                <w:bCs/>
                <w:i/>
                <w:szCs w:val="22"/>
              </w:rPr>
            </w:pPr>
            <w:r w:rsidRPr="00B45E94">
              <w:rPr>
                <w:bCs/>
                <w:i/>
                <w:sz w:val="22"/>
                <w:szCs w:val="22"/>
              </w:rPr>
              <w:t>C</w:t>
            </w:r>
            <w:r w:rsidR="00B45E94" w:rsidRPr="00B45E94">
              <w:rPr>
                <w:bCs/>
                <w:i/>
                <w:sz w:val="22"/>
                <w:szCs w:val="22"/>
              </w:rPr>
              <w:t>onsuntivo</w:t>
            </w:r>
            <w:r>
              <w:rPr>
                <w:bCs/>
                <w:i/>
                <w:sz w:val="22"/>
                <w:szCs w:val="22"/>
              </w:rPr>
              <w:t xml:space="preserve"> </w:t>
            </w:r>
            <w:r w:rsidR="00B45E94" w:rsidRPr="00B45E94">
              <w:rPr>
                <w:bCs/>
                <w:i/>
                <w:sz w:val="22"/>
                <w:szCs w:val="22"/>
              </w:rPr>
              <w:t>201</w:t>
            </w:r>
            <w:r w:rsidR="00E012F1">
              <w:rPr>
                <w:bCs/>
                <w:i/>
                <w:sz w:val="22"/>
                <w:szCs w:val="22"/>
              </w:rPr>
              <w:t>9</w:t>
            </w:r>
          </w:p>
        </w:tc>
      </w:tr>
      <w:tr w:rsidR="00B45E94" w:rsidRPr="00B45E94" w:rsidTr="000D6EB4">
        <w:trPr>
          <w:gridAfter w:val="1"/>
          <w:wAfter w:w="6" w:type="dxa"/>
        </w:trPr>
        <w:tc>
          <w:tcPr>
            <w:tcW w:w="1701" w:type="dxa"/>
          </w:tcPr>
          <w:p w:rsidR="00B45E94" w:rsidRPr="00B45E94" w:rsidRDefault="00B45E94" w:rsidP="00B45E94">
            <w:pPr>
              <w:pStyle w:val="Titolo1"/>
              <w:rPr>
                <w:sz w:val="22"/>
                <w:szCs w:val="22"/>
              </w:rPr>
            </w:pPr>
            <w:r w:rsidRPr="00B45E94">
              <w:rPr>
                <w:sz w:val="22"/>
                <w:szCs w:val="22"/>
              </w:rPr>
              <w:t>Gestore</w:t>
            </w:r>
          </w:p>
          <w:p w:rsidR="00B45E94" w:rsidRPr="00B45E94" w:rsidRDefault="00B45E94" w:rsidP="00B45E94">
            <w:pPr>
              <w:jc w:val="center"/>
              <w:rPr>
                <w:rFonts w:ascii="Times New Roman" w:hAnsi="Times New Roman"/>
                <w:bCs/>
                <w:szCs w:val="22"/>
              </w:rPr>
            </w:pPr>
          </w:p>
        </w:tc>
        <w:tc>
          <w:tcPr>
            <w:tcW w:w="1768" w:type="dxa"/>
          </w:tcPr>
          <w:p w:rsidR="00B45E94" w:rsidRPr="00B45E94" w:rsidRDefault="00B45E94" w:rsidP="00B45E94">
            <w:pPr>
              <w:jc w:val="center"/>
              <w:rPr>
                <w:rFonts w:ascii="Times New Roman" w:hAnsi="Times New Roman"/>
                <w:bCs/>
                <w:szCs w:val="22"/>
              </w:rPr>
            </w:pPr>
            <w:r w:rsidRPr="00B45E94">
              <w:rPr>
                <w:rFonts w:ascii="Times New Roman" w:hAnsi="Times New Roman"/>
                <w:bCs/>
                <w:sz w:val="22"/>
                <w:szCs w:val="22"/>
              </w:rPr>
              <w:t>Patrimonio medio</w:t>
            </w:r>
          </w:p>
        </w:tc>
        <w:tc>
          <w:tcPr>
            <w:tcW w:w="1242" w:type="dxa"/>
          </w:tcPr>
          <w:p w:rsidR="00B45E94" w:rsidRPr="00B45E94" w:rsidRDefault="00B45E94" w:rsidP="00B45E94">
            <w:pPr>
              <w:jc w:val="center"/>
              <w:rPr>
                <w:rFonts w:ascii="Times New Roman" w:hAnsi="Times New Roman"/>
                <w:bCs/>
                <w:szCs w:val="22"/>
              </w:rPr>
            </w:pPr>
            <w:r w:rsidRPr="00B45E94">
              <w:rPr>
                <w:rFonts w:ascii="Times New Roman" w:hAnsi="Times New Roman"/>
                <w:bCs/>
                <w:sz w:val="22"/>
                <w:szCs w:val="22"/>
              </w:rPr>
              <w:t>Rendimento lordo atteso 202</w:t>
            </w:r>
            <w:r w:rsidR="00E012F1">
              <w:rPr>
                <w:rFonts w:ascii="Times New Roman" w:hAnsi="Times New Roman"/>
                <w:bCs/>
                <w:sz w:val="22"/>
                <w:szCs w:val="22"/>
              </w:rPr>
              <w:t>1</w:t>
            </w:r>
          </w:p>
        </w:tc>
        <w:tc>
          <w:tcPr>
            <w:tcW w:w="1232" w:type="dxa"/>
          </w:tcPr>
          <w:p w:rsidR="00B45E94" w:rsidRPr="00B45E94" w:rsidRDefault="00B45E94" w:rsidP="00B45E94">
            <w:pPr>
              <w:jc w:val="center"/>
              <w:rPr>
                <w:rFonts w:ascii="Times New Roman" w:hAnsi="Times New Roman"/>
                <w:bCs/>
                <w:szCs w:val="22"/>
              </w:rPr>
            </w:pPr>
            <w:r w:rsidRPr="00B45E94">
              <w:rPr>
                <w:rFonts w:ascii="Times New Roman" w:hAnsi="Times New Roman"/>
                <w:bCs/>
                <w:sz w:val="22"/>
                <w:szCs w:val="22"/>
              </w:rPr>
              <w:t>Utile lordo</w:t>
            </w:r>
          </w:p>
        </w:tc>
        <w:tc>
          <w:tcPr>
            <w:tcW w:w="1417" w:type="dxa"/>
            <w:gridSpan w:val="2"/>
          </w:tcPr>
          <w:p w:rsidR="00B45E94" w:rsidRPr="00B45E94" w:rsidRDefault="00B45E94" w:rsidP="00B45E94">
            <w:pPr>
              <w:jc w:val="center"/>
              <w:rPr>
                <w:rFonts w:ascii="Times New Roman" w:hAnsi="Times New Roman"/>
                <w:bCs/>
                <w:i/>
                <w:szCs w:val="22"/>
              </w:rPr>
            </w:pPr>
            <w:proofErr w:type="gramStart"/>
            <w:r w:rsidRPr="00B45E94">
              <w:rPr>
                <w:rFonts w:ascii="Times New Roman" w:hAnsi="Times New Roman"/>
                <w:bCs/>
                <w:i/>
                <w:sz w:val="22"/>
                <w:szCs w:val="22"/>
              </w:rPr>
              <w:t>Rendimento  lordo</w:t>
            </w:r>
            <w:proofErr w:type="gramEnd"/>
          </w:p>
        </w:tc>
        <w:tc>
          <w:tcPr>
            <w:tcW w:w="1791" w:type="dxa"/>
            <w:gridSpan w:val="2"/>
          </w:tcPr>
          <w:p w:rsidR="00B45E94" w:rsidRPr="00B45E94" w:rsidRDefault="00B45E94" w:rsidP="00B45E94">
            <w:pPr>
              <w:jc w:val="center"/>
              <w:rPr>
                <w:rFonts w:ascii="Times New Roman" w:hAnsi="Times New Roman"/>
                <w:bCs/>
                <w:i/>
                <w:szCs w:val="22"/>
              </w:rPr>
            </w:pPr>
            <w:r w:rsidRPr="00B45E94">
              <w:rPr>
                <w:rFonts w:ascii="Times New Roman" w:hAnsi="Times New Roman"/>
                <w:bCs/>
                <w:i/>
                <w:sz w:val="22"/>
                <w:szCs w:val="22"/>
              </w:rPr>
              <w:t xml:space="preserve">Rendimento lordo </w:t>
            </w:r>
          </w:p>
        </w:tc>
      </w:tr>
      <w:tr w:rsidR="00B45E94" w:rsidRPr="002949C6" w:rsidTr="000D6EB4">
        <w:trPr>
          <w:gridAfter w:val="1"/>
          <w:wAfter w:w="6" w:type="dxa"/>
        </w:trPr>
        <w:tc>
          <w:tcPr>
            <w:tcW w:w="1701" w:type="dxa"/>
          </w:tcPr>
          <w:p w:rsidR="00B45E94" w:rsidRPr="002949C6" w:rsidRDefault="00B45E94" w:rsidP="00B45E94">
            <w:pPr>
              <w:pStyle w:val="Titolo1"/>
              <w:jc w:val="left"/>
              <w:rPr>
                <w:bCs/>
                <w:sz w:val="22"/>
                <w:szCs w:val="22"/>
              </w:rPr>
            </w:pPr>
            <w:r w:rsidRPr="002949C6">
              <w:rPr>
                <w:bCs/>
                <w:sz w:val="22"/>
                <w:szCs w:val="22"/>
              </w:rPr>
              <w:t>Eurizon</w:t>
            </w:r>
          </w:p>
        </w:tc>
        <w:tc>
          <w:tcPr>
            <w:tcW w:w="1768" w:type="dxa"/>
          </w:tcPr>
          <w:p w:rsidR="00B45E94" w:rsidRPr="002949C6" w:rsidRDefault="000D6EB4" w:rsidP="00B45E94">
            <w:pPr>
              <w:jc w:val="right"/>
              <w:rPr>
                <w:rFonts w:ascii="Times New Roman" w:hAnsi="Times New Roman"/>
                <w:sz w:val="22"/>
                <w:szCs w:val="22"/>
              </w:rPr>
            </w:pPr>
            <w:r w:rsidRPr="002949C6">
              <w:rPr>
                <w:rFonts w:ascii="Times New Roman" w:hAnsi="Times New Roman"/>
                <w:sz w:val="22"/>
                <w:szCs w:val="22"/>
              </w:rPr>
              <w:t>9.</w:t>
            </w:r>
            <w:r w:rsidR="00E012F1" w:rsidRPr="002949C6">
              <w:rPr>
                <w:rFonts w:ascii="Times New Roman" w:hAnsi="Times New Roman"/>
                <w:sz w:val="22"/>
                <w:szCs w:val="22"/>
              </w:rPr>
              <w:t>50</w:t>
            </w:r>
            <w:r w:rsidRPr="002949C6">
              <w:rPr>
                <w:rFonts w:ascii="Times New Roman" w:hAnsi="Times New Roman"/>
                <w:sz w:val="22"/>
                <w:szCs w:val="22"/>
              </w:rPr>
              <w:t>0.000</w:t>
            </w:r>
          </w:p>
        </w:tc>
        <w:tc>
          <w:tcPr>
            <w:tcW w:w="1242" w:type="dxa"/>
            <w:vMerge w:val="restart"/>
          </w:tcPr>
          <w:p w:rsidR="00B45E94" w:rsidRPr="00C06691" w:rsidRDefault="00D121A6" w:rsidP="00B45E94">
            <w:pPr>
              <w:jc w:val="center"/>
              <w:rPr>
                <w:rFonts w:ascii="Times New Roman" w:hAnsi="Times New Roman"/>
                <w:b/>
                <w:sz w:val="22"/>
                <w:szCs w:val="22"/>
              </w:rPr>
            </w:pPr>
            <w:r w:rsidRPr="00C06691">
              <w:rPr>
                <w:rFonts w:ascii="Times New Roman" w:hAnsi="Times New Roman"/>
                <w:b/>
                <w:sz w:val="22"/>
                <w:szCs w:val="22"/>
              </w:rPr>
              <w:t>2,53</w:t>
            </w:r>
            <w:r w:rsidR="00B45E94" w:rsidRPr="00C06691">
              <w:rPr>
                <w:rFonts w:ascii="Times New Roman" w:hAnsi="Times New Roman"/>
                <w:b/>
                <w:sz w:val="22"/>
                <w:szCs w:val="22"/>
              </w:rPr>
              <w:t>%</w:t>
            </w:r>
          </w:p>
        </w:tc>
        <w:tc>
          <w:tcPr>
            <w:tcW w:w="1232" w:type="dxa"/>
            <w:vMerge w:val="restart"/>
          </w:tcPr>
          <w:p w:rsidR="00B45E94" w:rsidRPr="00E42701" w:rsidRDefault="00E012F1" w:rsidP="00B45E94">
            <w:pPr>
              <w:spacing w:line="360" w:lineRule="auto"/>
              <w:jc w:val="right"/>
              <w:rPr>
                <w:rFonts w:ascii="Times New Roman" w:hAnsi="Times New Roman"/>
                <w:b/>
                <w:sz w:val="22"/>
                <w:szCs w:val="22"/>
              </w:rPr>
            </w:pPr>
            <w:r w:rsidRPr="00E42701">
              <w:rPr>
                <w:rFonts w:ascii="Times New Roman" w:hAnsi="Times New Roman"/>
                <w:b/>
                <w:bCs/>
                <w:sz w:val="22"/>
                <w:szCs w:val="22"/>
              </w:rPr>
              <w:t>1.</w:t>
            </w:r>
            <w:r w:rsidR="00D121A6" w:rsidRPr="00E42701">
              <w:rPr>
                <w:rFonts w:ascii="Times New Roman" w:hAnsi="Times New Roman"/>
                <w:b/>
                <w:bCs/>
                <w:sz w:val="22"/>
                <w:szCs w:val="22"/>
              </w:rPr>
              <w:t>050.000</w:t>
            </w:r>
          </w:p>
        </w:tc>
        <w:tc>
          <w:tcPr>
            <w:tcW w:w="1417" w:type="dxa"/>
            <w:gridSpan w:val="2"/>
            <w:tcBorders>
              <w:bottom w:val="nil"/>
            </w:tcBorders>
          </w:tcPr>
          <w:p w:rsidR="00B45E94" w:rsidRPr="00C06691" w:rsidRDefault="00E012F1" w:rsidP="00B45E94">
            <w:pPr>
              <w:jc w:val="center"/>
              <w:rPr>
                <w:rFonts w:ascii="Times New Roman" w:hAnsi="Times New Roman"/>
                <w:i/>
                <w:sz w:val="22"/>
                <w:szCs w:val="22"/>
              </w:rPr>
            </w:pPr>
            <w:r w:rsidRPr="00C06691">
              <w:rPr>
                <w:rFonts w:ascii="Times New Roman" w:hAnsi="Times New Roman"/>
                <w:bCs/>
                <w:sz w:val="22"/>
                <w:szCs w:val="22"/>
              </w:rPr>
              <w:t>1.053.000</w:t>
            </w:r>
          </w:p>
        </w:tc>
        <w:tc>
          <w:tcPr>
            <w:tcW w:w="1791" w:type="dxa"/>
            <w:gridSpan w:val="2"/>
            <w:tcBorders>
              <w:bottom w:val="nil"/>
            </w:tcBorders>
          </w:tcPr>
          <w:p w:rsidR="00B45E94" w:rsidRPr="00C06691" w:rsidRDefault="00E012F1" w:rsidP="00B45E94">
            <w:pPr>
              <w:jc w:val="center"/>
              <w:rPr>
                <w:rFonts w:ascii="Times New Roman" w:hAnsi="Times New Roman"/>
                <w:bCs/>
                <w:i/>
                <w:sz w:val="22"/>
                <w:szCs w:val="22"/>
              </w:rPr>
            </w:pPr>
            <w:r w:rsidRPr="00C06691">
              <w:rPr>
                <w:rFonts w:ascii="Times New Roman" w:hAnsi="Times New Roman"/>
                <w:bCs/>
                <w:color w:val="000000"/>
                <w:sz w:val="22"/>
                <w:szCs w:val="22"/>
              </w:rPr>
              <w:t>4.037.378</w:t>
            </w:r>
          </w:p>
        </w:tc>
      </w:tr>
      <w:tr w:rsidR="00AB27B3" w:rsidRPr="002949C6" w:rsidTr="000D6EB4">
        <w:trPr>
          <w:gridAfter w:val="1"/>
          <w:wAfter w:w="6" w:type="dxa"/>
        </w:trPr>
        <w:tc>
          <w:tcPr>
            <w:tcW w:w="1701" w:type="dxa"/>
          </w:tcPr>
          <w:p w:rsidR="00AB27B3" w:rsidRPr="002949C6" w:rsidRDefault="00AB27B3" w:rsidP="00B45E94">
            <w:pPr>
              <w:pStyle w:val="Titolo1"/>
              <w:jc w:val="left"/>
              <w:rPr>
                <w:bCs/>
                <w:sz w:val="22"/>
                <w:szCs w:val="22"/>
              </w:rPr>
            </w:pPr>
            <w:r w:rsidRPr="002949C6">
              <w:rPr>
                <w:bCs/>
                <w:sz w:val="22"/>
                <w:szCs w:val="22"/>
              </w:rPr>
              <w:t>Banca Profilo</w:t>
            </w:r>
          </w:p>
        </w:tc>
        <w:tc>
          <w:tcPr>
            <w:tcW w:w="1768" w:type="dxa"/>
          </w:tcPr>
          <w:p w:rsidR="00AB27B3" w:rsidRPr="002949C6" w:rsidRDefault="00AB27B3" w:rsidP="00B45E94">
            <w:pPr>
              <w:jc w:val="right"/>
              <w:rPr>
                <w:rFonts w:ascii="Times New Roman" w:hAnsi="Times New Roman"/>
                <w:sz w:val="22"/>
                <w:szCs w:val="22"/>
              </w:rPr>
            </w:pPr>
            <w:r w:rsidRPr="002949C6">
              <w:rPr>
                <w:rFonts w:ascii="Times New Roman" w:hAnsi="Times New Roman"/>
                <w:sz w:val="22"/>
                <w:szCs w:val="22"/>
              </w:rPr>
              <w:t>1</w:t>
            </w:r>
            <w:r w:rsidR="00E012F1" w:rsidRPr="002949C6">
              <w:rPr>
                <w:rFonts w:ascii="Times New Roman" w:hAnsi="Times New Roman"/>
                <w:sz w:val="22"/>
                <w:szCs w:val="22"/>
              </w:rPr>
              <w:t>0</w:t>
            </w:r>
            <w:r w:rsidRPr="002949C6">
              <w:rPr>
                <w:rFonts w:ascii="Times New Roman" w:hAnsi="Times New Roman"/>
                <w:sz w:val="22"/>
                <w:szCs w:val="22"/>
              </w:rPr>
              <w:t>.</w:t>
            </w:r>
            <w:r w:rsidR="00E012F1" w:rsidRPr="002949C6">
              <w:rPr>
                <w:rFonts w:ascii="Times New Roman" w:hAnsi="Times New Roman"/>
                <w:sz w:val="22"/>
                <w:szCs w:val="22"/>
              </w:rPr>
              <w:t>5</w:t>
            </w:r>
            <w:r w:rsidR="000D6EB4" w:rsidRPr="002949C6">
              <w:rPr>
                <w:rFonts w:ascii="Times New Roman" w:hAnsi="Times New Roman"/>
                <w:sz w:val="22"/>
                <w:szCs w:val="22"/>
              </w:rPr>
              <w:t>00.000</w:t>
            </w:r>
          </w:p>
        </w:tc>
        <w:tc>
          <w:tcPr>
            <w:tcW w:w="1242" w:type="dxa"/>
            <w:vMerge/>
          </w:tcPr>
          <w:p w:rsidR="00AB27B3" w:rsidRPr="002949C6" w:rsidRDefault="00AB27B3" w:rsidP="00B45E94">
            <w:pPr>
              <w:jc w:val="center"/>
              <w:rPr>
                <w:rFonts w:ascii="Times New Roman" w:hAnsi="Times New Roman"/>
                <w:sz w:val="22"/>
                <w:szCs w:val="22"/>
              </w:rPr>
            </w:pPr>
          </w:p>
        </w:tc>
        <w:tc>
          <w:tcPr>
            <w:tcW w:w="1232" w:type="dxa"/>
            <w:vMerge/>
          </w:tcPr>
          <w:p w:rsidR="00AB27B3" w:rsidRPr="002949C6" w:rsidRDefault="00AB27B3" w:rsidP="00B45E94">
            <w:pPr>
              <w:spacing w:line="360" w:lineRule="auto"/>
              <w:jc w:val="right"/>
              <w:rPr>
                <w:rFonts w:ascii="Times New Roman" w:hAnsi="Times New Roman"/>
                <w:b/>
                <w:bCs/>
                <w:sz w:val="22"/>
                <w:szCs w:val="22"/>
              </w:rPr>
            </w:pPr>
          </w:p>
        </w:tc>
        <w:tc>
          <w:tcPr>
            <w:tcW w:w="1417" w:type="dxa"/>
            <w:gridSpan w:val="2"/>
            <w:tcBorders>
              <w:top w:val="nil"/>
            </w:tcBorders>
          </w:tcPr>
          <w:p w:rsidR="00AB27B3" w:rsidRPr="002949C6" w:rsidRDefault="00AB27B3" w:rsidP="00B45E94">
            <w:pPr>
              <w:jc w:val="center"/>
              <w:rPr>
                <w:rFonts w:ascii="Times New Roman" w:hAnsi="Times New Roman"/>
                <w:b/>
                <w:bCs/>
                <w:sz w:val="22"/>
                <w:szCs w:val="22"/>
              </w:rPr>
            </w:pPr>
          </w:p>
        </w:tc>
        <w:tc>
          <w:tcPr>
            <w:tcW w:w="1791" w:type="dxa"/>
            <w:gridSpan w:val="2"/>
            <w:tcBorders>
              <w:top w:val="nil"/>
            </w:tcBorders>
          </w:tcPr>
          <w:p w:rsidR="00AB27B3" w:rsidRPr="002949C6" w:rsidRDefault="00AB27B3" w:rsidP="00B45E94">
            <w:pPr>
              <w:jc w:val="center"/>
              <w:rPr>
                <w:rFonts w:ascii="Times New Roman" w:hAnsi="Times New Roman"/>
                <w:b/>
                <w:bCs/>
                <w:sz w:val="22"/>
                <w:szCs w:val="22"/>
                <w:lang w:eastAsia="en-US"/>
              </w:rPr>
            </w:pPr>
          </w:p>
        </w:tc>
      </w:tr>
      <w:tr w:rsidR="00B45E94" w:rsidRPr="002949C6" w:rsidTr="000D6EB4">
        <w:trPr>
          <w:gridAfter w:val="5"/>
          <w:wAfter w:w="3214" w:type="dxa"/>
        </w:trPr>
        <w:tc>
          <w:tcPr>
            <w:tcW w:w="1701" w:type="dxa"/>
          </w:tcPr>
          <w:p w:rsidR="00B45E94" w:rsidRPr="002949C6" w:rsidRDefault="00E012F1" w:rsidP="00B45E94">
            <w:pPr>
              <w:pStyle w:val="Titolo1"/>
              <w:jc w:val="left"/>
              <w:rPr>
                <w:bCs/>
                <w:sz w:val="22"/>
                <w:szCs w:val="22"/>
              </w:rPr>
            </w:pPr>
            <w:r w:rsidRPr="002949C6">
              <w:rPr>
                <w:bCs/>
                <w:sz w:val="22"/>
                <w:szCs w:val="22"/>
              </w:rPr>
              <w:t>Banca Generali</w:t>
            </w:r>
          </w:p>
        </w:tc>
        <w:tc>
          <w:tcPr>
            <w:tcW w:w="1768" w:type="dxa"/>
          </w:tcPr>
          <w:p w:rsidR="00B45E94" w:rsidRPr="002949C6" w:rsidRDefault="00B45E94" w:rsidP="00B45E94">
            <w:pPr>
              <w:jc w:val="right"/>
              <w:rPr>
                <w:rFonts w:ascii="Times New Roman" w:hAnsi="Times New Roman"/>
                <w:sz w:val="22"/>
                <w:szCs w:val="22"/>
              </w:rPr>
            </w:pPr>
            <w:r w:rsidRPr="002949C6">
              <w:rPr>
                <w:rFonts w:ascii="Times New Roman" w:hAnsi="Times New Roman"/>
                <w:sz w:val="22"/>
                <w:szCs w:val="22"/>
              </w:rPr>
              <w:t>6.</w:t>
            </w:r>
            <w:r w:rsidR="00E012F1" w:rsidRPr="002949C6">
              <w:rPr>
                <w:rFonts w:ascii="Times New Roman" w:hAnsi="Times New Roman"/>
                <w:sz w:val="22"/>
                <w:szCs w:val="22"/>
              </w:rPr>
              <w:t>0</w:t>
            </w:r>
            <w:r w:rsidRPr="002949C6">
              <w:rPr>
                <w:rFonts w:ascii="Times New Roman" w:hAnsi="Times New Roman"/>
                <w:sz w:val="22"/>
                <w:szCs w:val="22"/>
              </w:rPr>
              <w:t>00.000</w:t>
            </w:r>
          </w:p>
        </w:tc>
        <w:tc>
          <w:tcPr>
            <w:tcW w:w="1242" w:type="dxa"/>
            <w:vMerge/>
          </w:tcPr>
          <w:p w:rsidR="00B45E94" w:rsidRPr="002949C6" w:rsidRDefault="00B45E94" w:rsidP="00B45E94">
            <w:pPr>
              <w:jc w:val="right"/>
              <w:rPr>
                <w:rFonts w:ascii="Times New Roman" w:hAnsi="Times New Roman"/>
                <w:sz w:val="22"/>
                <w:szCs w:val="22"/>
              </w:rPr>
            </w:pPr>
          </w:p>
        </w:tc>
        <w:tc>
          <w:tcPr>
            <w:tcW w:w="1232" w:type="dxa"/>
            <w:vMerge/>
          </w:tcPr>
          <w:p w:rsidR="00B45E94" w:rsidRPr="002949C6" w:rsidRDefault="00B45E94" w:rsidP="00B45E94">
            <w:pPr>
              <w:spacing w:line="360" w:lineRule="auto"/>
              <w:jc w:val="right"/>
              <w:rPr>
                <w:rFonts w:ascii="Times New Roman" w:hAnsi="Times New Roman"/>
                <w:sz w:val="22"/>
                <w:szCs w:val="22"/>
              </w:rPr>
            </w:pPr>
          </w:p>
        </w:tc>
      </w:tr>
      <w:tr w:rsidR="00B45E94" w:rsidRPr="002949C6" w:rsidTr="000D6EB4">
        <w:trPr>
          <w:gridAfter w:val="5"/>
          <w:wAfter w:w="3214" w:type="dxa"/>
        </w:trPr>
        <w:tc>
          <w:tcPr>
            <w:tcW w:w="1701" w:type="dxa"/>
          </w:tcPr>
          <w:p w:rsidR="00B45E94" w:rsidRPr="002949C6" w:rsidRDefault="00AB27B3" w:rsidP="00B45E94">
            <w:pPr>
              <w:pStyle w:val="Titolo1"/>
              <w:jc w:val="left"/>
              <w:rPr>
                <w:bCs/>
                <w:sz w:val="22"/>
                <w:szCs w:val="22"/>
              </w:rPr>
            </w:pPr>
            <w:r w:rsidRPr="002949C6">
              <w:rPr>
                <w:bCs/>
                <w:sz w:val="22"/>
                <w:szCs w:val="22"/>
              </w:rPr>
              <w:t xml:space="preserve"> P</w:t>
            </w:r>
            <w:r w:rsidR="00B45E94" w:rsidRPr="002949C6">
              <w:rPr>
                <w:bCs/>
                <w:sz w:val="22"/>
                <w:szCs w:val="22"/>
              </w:rPr>
              <w:t>olizze</w:t>
            </w:r>
          </w:p>
        </w:tc>
        <w:tc>
          <w:tcPr>
            <w:tcW w:w="1768" w:type="dxa"/>
          </w:tcPr>
          <w:p w:rsidR="00B45E94" w:rsidRPr="002949C6" w:rsidRDefault="00B45E94" w:rsidP="00B45E94">
            <w:pPr>
              <w:jc w:val="right"/>
              <w:rPr>
                <w:rFonts w:ascii="Times New Roman" w:hAnsi="Times New Roman"/>
                <w:sz w:val="22"/>
                <w:szCs w:val="22"/>
              </w:rPr>
            </w:pPr>
            <w:r w:rsidRPr="002949C6">
              <w:rPr>
                <w:rFonts w:ascii="Times New Roman" w:hAnsi="Times New Roman"/>
                <w:sz w:val="22"/>
                <w:szCs w:val="22"/>
              </w:rPr>
              <w:t>2.</w:t>
            </w:r>
            <w:r w:rsidR="00E012F1" w:rsidRPr="002949C6">
              <w:rPr>
                <w:rFonts w:ascii="Times New Roman" w:hAnsi="Times New Roman"/>
                <w:sz w:val="22"/>
                <w:szCs w:val="22"/>
              </w:rPr>
              <w:t>11</w:t>
            </w:r>
            <w:r w:rsidR="000D6EB4" w:rsidRPr="002949C6">
              <w:rPr>
                <w:rFonts w:ascii="Times New Roman" w:hAnsi="Times New Roman"/>
                <w:sz w:val="22"/>
                <w:szCs w:val="22"/>
              </w:rPr>
              <w:t>0</w:t>
            </w:r>
            <w:r w:rsidRPr="002949C6">
              <w:rPr>
                <w:rFonts w:ascii="Times New Roman" w:hAnsi="Times New Roman"/>
                <w:sz w:val="22"/>
                <w:szCs w:val="22"/>
              </w:rPr>
              <w:t>.000</w:t>
            </w:r>
          </w:p>
        </w:tc>
        <w:tc>
          <w:tcPr>
            <w:tcW w:w="1242" w:type="dxa"/>
            <w:vMerge/>
          </w:tcPr>
          <w:p w:rsidR="00B45E94" w:rsidRPr="002949C6" w:rsidRDefault="00B45E94" w:rsidP="00B45E94">
            <w:pPr>
              <w:jc w:val="right"/>
              <w:rPr>
                <w:rFonts w:ascii="Times New Roman" w:hAnsi="Times New Roman"/>
                <w:sz w:val="22"/>
                <w:szCs w:val="22"/>
              </w:rPr>
            </w:pPr>
          </w:p>
        </w:tc>
        <w:tc>
          <w:tcPr>
            <w:tcW w:w="1232" w:type="dxa"/>
            <w:vMerge/>
          </w:tcPr>
          <w:p w:rsidR="00B45E94" w:rsidRPr="002949C6" w:rsidRDefault="00B45E94" w:rsidP="00B45E94">
            <w:pPr>
              <w:spacing w:line="360" w:lineRule="auto"/>
              <w:jc w:val="right"/>
              <w:rPr>
                <w:rFonts w:ascii="Times New Roman" w:hAnsi="Times New Roman"/>
                <w:sz w:val="22"/>
                <w:szCs w:val="22"/>
              </w:rPr>
            </w:pPr>
          </w:p>
        </w:tc>
      </w:tr>
      <w:tr w:rsidR="00B45E94" w:rsidRPr="002949C6" w:rsidTr="000D6EB4">
        <w:trPr>
          <w:gridAfter w:val="5"/>
          <w:wAfter w:w="3214" w:type="dxa"/>
        </w:trPr>
        <w:tc>
          <w:tcPr>
            <w:tcW w:w="1701" w:type="dxa"/>
          </w:tcPr>
          <w:p w:rsidR="00B45E94" w:rsidRPr="002949C6" w:rsidRDefault="00B45E94" w:rsidP="00B45E94">
            <w:pPr>
              <w:pStyle w:val="Titolo1"/>
              <w:jc w:val="left"/>
              <w:rPr>
                <w:bCs/>
                <w:sz w:val="22"/>
                <w:szCs w:val="22"/>
              </w:rPr>
            </w:pPr>
            <w:r w:rsidRPr="002949C6">
              <w:rPr>
                <w:bCs/>
                <w:sz w:val="22"/>
                <w:szCs w:val="22"/>
              </w:rPr>
              <w:t xml:space="preserve">Conto </w:t>
            </w:r>
            <w:proofErr w:type="spellStart"/>
            <w:r w:rsidRPr="002949C6">
              <w:rPr>
                <w:bCs/>
                <w:sz w:val="22"/>
                <w:szCs w:val="22"/>
              </w:rPr>
              <w:t>amm</w:t>
            </w:r>
            <w:proofErr w:type="spellEnd"/>
            <w:r w:rsidR="00032B75">
              <w:rPr>
                <w:bCs/>
                <w:sz w:val="22"/>
                <w:szCs w:val="22"/>
              </w:rPr>
              <w:t>.</w:t>
            </w:r>
          </w:p>
        </w:tc>
        <w:tc>
          <w:tcPr>
            <w:tcW w:w="1768" w:type="dxa"/>
          </w:tcPr>
          <w:p w:rsidR="00B45E94" w:rsidRPr="002949C6" w:rsidRDefault="00B45E94" w:rsidP="00B45E94">
            <w:pPr>
              <w:jc w:val="right"/>
              <w:rPr>
                <w:rFonts w:ascii="Times New Roman" w:hAnsi="Times New Roman"/>
                <w:sz w:val="22"/>
                <w:szCs w:val="22"/>
              </w:rPr>
            </w:pPr>
            <w:r w:rsidRPr="002949C6">
              <w:rPr>
                <w:rFonts w:ascii="Times New Roman" w:hAnsi="Times New Roman"/>
                <w:sz w:val="22"/>
                <w:szCs w:val="22"/>
              </w:rPr>
              <w:t>13.</w:t>
            </w:r>
            <w:r w:rsidR="000D6EB4" w:rsidRPr="002949C6">
              <w:rPr>
                <w:rFonts w:ascii="Times New Roman" w:hAnsi="Times New Roman"/>
                <w:sz w:val="22"/>
                <w:szCs w:val="22"/>
              </w:rPr>
              <w:t>400</w:t>
            </w:r>
            <w:r w:rsidRPr="002949C6">
              <w:rPr>
                <w:rFonts w:ascii="Times New Roman" w:hAnsi="Times New Roman"/>
                <w:sz w:val="22"/>
                <w:szCs w:val="22"/>
              </w:rPr>
              <w:t>.000</w:t>
            </w:r>
          </w:p>
        </w:tc>
        <w:tc>
          <w:tcPr>
            <w:tcW w:w="1242" w:type="dxa"/>
            <w:vMerge/>
          </w:tcPr>
          <w:p w:rsidR="00B45E94" w:rsidRPr="002949C6" w:rsidRDefault="00B45E94" w:rsidP="00B45E94">
            <w:pPr>
              <w:jc w:val="right"/>
              <w:rPr>
                <w:rFonts w:ascii="Times New Roman" w:hAnsi="Times New Roman"/>
                <w:sz w:val="22"/>
                <w:szCs w:val="22"/>
              </w:rPr>
            </w:pPr>
          </w:p>
        </w:tc>
        <w:tc>
          <w:tcPr>
            <w:tcW w:w="1232" w:type="dxa"/>
            <w:vMerge/>
          </w:tcPr>
          <w:p w:rsidR="00B45E94" w:rsidRPr="002949C6" w:rsidRDefault="00B45E94" w:rsidP="00B45E94">
            <w:pPr>
              <w:spacing w:line="360" w:lineRule="auto"/>
              <w:jc w:val="right"/>
              <w:rPr>
                <w:rFonts w:ascii="Times New Roman" w:hAnsi="Times New Roman"/>
                <w:sz w:val="22"/>
                <w:szCs w:val="22"/>
              </w:rPr>
            </w:pPr>
          </w:p>
        </w:tc>
      </w:tr>
      <w:tr w:rsidR="00B45E94" w:rsidRPr="002949C6" w:rsidTr="000D6EB4">
        <w:trPr>
          <w:gridAfter w:val="5"/>
          <w:wAfter w:w="3214" w:type="dxa"/>
        </w:trPr>
        <w:tc>
          <w:tcPr>
            <w:tcW w:w="1701" w:type="dxa"/>
          </w:tcPr>
          <w:p w:rsidR="00B45E94" w:rsidRPr="002949C6" w:rsidRDefault="00B45E94" w:rsidP="00B45E94">
            <w:pPr>
              <w:pStyle w:val="Titolo1"/>
              <w:jc w:val="left"/>
              <w:rPr>
                <w:b/>
                <w:sz w:val="22"/>
                <w:szCs w:val="22"/>
              </w:rPr>
            </w:pPr>
            <w:r w:rsidRPr="002949C6">
              <w:rPr>
                <w:b/>
                <w:sz w:val="22"/>
                <w:szCs w:val="22"/>
              </w:rPr>
              <w:t xml:space="preserve">Totale </w:t>
            </w:r>
          </w:p>
        </w:tc>
        <w:tc>
          <w:tcPr>
            <w:tcW w:w="1768" w:type="dxa"/>
          </w:tcPr>
          <w:p w:rsidR="00B45E94" w:rsidRPr="00C06691" w:rsidRDefault="000D6EB4" w:rsidP="00B45E94">
            <w:pPr>
              <w:jc w:val="right"/>
              <w:rPr>
                <w:rFonts w:ascii="Times New Roman" w:hAnsi="Times New Roman"/>
                <w:b/>
                <w:bCs/>
                <w:sz w:val="22"/>
                <w:szCs w:val="22"/>
              </w:rPr>
            </w:pPr>
            <w:r w:rsidRPr="00C06691">
              <w:rPr>
                <w:rFonts w:ascii="Times New Roman" w:hAnsi="Times New Roman"/>
                <w:b/>
                <w:sz w:val="22"/>
                <w:szCs w:val="22"/>
              </w:rPr>
              <w:t>4</w:t>
            </w:r>
            <w:r w:rsidR="00D121A6" w:rsidRPr="00C06691">
              <w:rPr>
                <w:rFonts w:ascii="Times New Roman" w:hAnsi="Times New Roman"/>
                <w:b/>
                <w:sz w:val="22"/>
                <w:szCs w:val="22"/>
              </w:rPr>
              <w:t>1</w:t>
            </w:r>
            <w:r w:rsidRPr="00C06691">
              <w:rPr>
                <w:rFonts w:ascii="Times New Roman" w:hAnsi="Times New Roman"/>
                <w:b/>
                <w:sz w:val="22"/>
                <w:szCs w:val="22"/>
              </w:rPr>
              <w:t>.</w:t>
            </w:r>
            <w:r w:rsidR="00D121A6" w:rsidRPr="00C06691">
              <w:rPr>
                <w:rFonts w:ascii="Times New Roman" w:hAnsi="Times New Roman"/>
                <w:b/>
                <w:sz w:val="22"/>
                <w:szCs w:val="22"/>
              </w:rPr>
              <w:t>510</w:t>
            </w:r>
            <w:r w:rsidRPr="00C06691">
              <w:rPr>
                <w:rFonts w:ascii="Times New Roman" w:hAnsi="Times New Roman"/>
                <w:b/>
                <w:sz w:val="22"/>
                <w:szCs w:val="22"/>
              </w:rPr>
              <w:t>.</w:t>
            </w:r>
            <w:r w:rsidR="00E012F1" w:rsidRPr="00C06691">
              <w:rPr>
                <w:rFonts w:ascii="Times New Roman" w:hAnsi="Times New Roman"/>
                <w:b/>
                <w:sz w:val="22"/>
                <w:szCs w:val="22"/>
              </w:rPr>
              <w:t>000</w:t>
            </w:r>
          </w:p>
        </w:tc>
        <w:tc>
          <w:tcPr>
            <w:tcW w:w="1242" w:type="dxa"/>
            <w:vMerge/>
          </w:tcPr>
          <w:p w:rsidR="00B45E94" w:rsidRPr="002949C6" w:rsidRDefault="00B45E94" w:rsidP="00B45E94">
            <w:pPr>
              <w:jc w:val="right"/>
              <w:rPr>
                <w:rFonts w:ascii="Times New Roman" w:hAnsi="Times New Roman"/>
                <w:sz w:val="22"/>
                <w:szCs w:val="22"/>
              </w:rPr>
            </w:pPr>
          </w:p>
        </w:tc>
        <w:tc>
          <w:tcPr>
            <w:tcW w:w="1232" w:type="dxa"/>
            <w:vMerge/>
          </w:tcPr>
          <w:p w:rsidR="00B45E94" w:rsidRPr="002949C6" w:rsidRDefault="00B45E94" w:rsidP="00B45E94">
            <w:pPr>
              <w:spacing w:line="360" w:lineRule="auto"/>
              <w:jc w:val="right"/>
              <w:rPr>
                <w:rFonts w:ascii="Times New Roman" w:hAnsi="Times New Roman"/>
                <w:b/>
                <w:bCs/>
                <w:sz w:val="22"/>
                <w:szCs w:val="22"/>
              </w:rPr>
            </w:pPr>
          </w:p>
        </w:tc>
      </w:tr>
    </w:tbl>
    <w:p w:rsidR="005A3229" w:rsidRPr="002949C6" w:rsidRDefault="005A3229" w:rsidP="006221EE">
      <w:pPr>
        <w:ind w:right="-1"/>
        <w:rPr>
          <w:rFonts w:ascii="Times New Roman" w:hAnsi="Times New Roman"/>
          <w:bCs/>
          <w:iCs/>
          <w:sz w:val="22"/>
          <w:szCs w:val="22"/>
        </w:rPr>
      </w:pPr>
    </w:p>
    <w:p w:rsidR="006221EE" w:rsidRPr="00277BF5" w:rsidRDefault="006221EE" w:rsidP="006221EE">
      <w:pPr>
        <w:spacing w:line="276" w:lineRule="auto"/>
        <w:ind w:left="-20" w:firstLine="20"/>
        <w:rPr>
          <w:rFonts w:ascii="Times New Roman" w:hAnsi="Times New Roman"/>
          <w:b/>
          <w:caps/>
          <w:color w:val="000000"/>
          <w:sz w:val="22"/>
          <w:szCs w:val="22"/>
          <w:lang w:eastAsia="en-US"/>
        </w:rPr>
      </w:pPr>
      <w:r w:rsidRPr="00277BF5">
        <w:rPr>
          <w:rFonts w:ascii="Times New Roman" w:hAnsi="Times New Roman"/>
          <w:b/>
          <w:caps/>
          <w:color w:val="000000"/>
          <w:sz w:val="22"/>
          <w:szCs w:val="22"/>
          <w:lang w:eastAsia="en-US"/>
        </w:rPr>
        <w:t>Impresa strumentale</w:t>
      </w:r>
    </w:p>
    <w:tbl>
      <w:tblPr>
        <w:tblW w:w="8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01"/>
        <w:gridCol w:w="1559"/>
        <w:gridCol w:w="1701"/>
      </w:tblGrid>
      <w:tr w:rsidR="006221EE" w:rsidRPr="00F13554" w:rsidTr="006D2BE1">
        <w:tc>
          <w:tcPr>
            <w:tcW w:w="3119" w:type="dxa"/>
            <w:tcBorders>
              <w:top w:val="single" w:sz="4" w:space="0" w:color="auto"/>
              <w:left w:val="single" w:sz="4" w:space="0" w:color="auto"/>
              <w:bottom w:val="single" w:sz="4" w:space="0" w:color="auto"/>
              <w:right w:val="single" w:sz="4" w:space="0" w:color="auto"/>
            </w:tcBorders>
          </w:tcPr>
          <w:p w:rsidR="006221EE" w:rsidRPr="00F13554" w:rsidRDefault="006221EE" w:rsidP="00735CEB">
            <w:pPr>
              <w:pStyle w:val="Delibera"/>
              <w:spacing w:line="240" w:lineRule="auto"/>
              <w:ind w:left="180" w:right="-1" w:hanging="180"/>
              <w:jc w:val="center"/>
              <w:rPr>
                <w:bCs/>
                <w:iCs/>
                <w:sz w:val="22"/>
                <w:szCs w:val="22"/>
                <w:lang w:val="de-DE" w:eastAsia="en-US"/>
              </w:rPr>
            </w:pPr>
          </w:p>
        </w:tc>
        <w:tc>
          <w:tcPr>
            <w:tcW w:w="1701" w:type="dxa"/>
            <w:tcBorders>
              <w:top w:val="single" w:sz="4" w:space="0" w:color="auto"/>
              <w:left w:val="single" w:sz="4" w:space="0" w:color="auto"/>
              <w:bottom w:val="single" w:sz="4" w:space="0" w:color="auto"/>
              <w:right w:val="single" w:sz="4" w:space="0" w:color="auto"/>
            </w:tcBorders>
          </w:tcPr>
          <w:p w:rsidR="006221EE" w:rsidRPr="00F13554" w:rsidRDefault="006221EE" w:rsidP="00735CEB">
            <w:pPr>
              <w:pStyle w:val="Delibera"/>
              <w:spacing w:line="240" w:lineRule="auto"/>
              <w:jc w:val="center"/>
              <w:rPr>
                <w:bCs/>
                <w:iCs/>
                <w:sz w:val="22"/>
                <w:szCs w:val="22"/>
                <w:lang w:eastAsia="en-US"/>
              </w:rPr>
            </w:pPr>
            <w:r w:rsidRPr="00F13554">
              <w:rPr>
                <w:bCs/>
                <w:sz w:val="22"/>
                <w:szCs w:val="22"/>
              </w:rPr>
              <w:t>DPP 20</w:t>
            </w:r>
            <w:r w:rsidR="005A3229" w:rsidRPr="00F13554">
              <w:rPr>
                <w:bCs/>
                <w:sz w:val="22"/>
                <w:szCs w:val="22"/>
              </w:rPr>
              <w:t>2</w:t>
            </w:r>
            <w:r w:rsidR="00E012F1" w:rsidRPr="00F13554">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6221EE" w:rsidRPr="00F13554" w:rsidRDefault="006221EE" w:rsidP="00735CEB">
            <w:pPr>
              <w:pStyle w:val="Delibera"/>
              <w:spacing w:line="240" w:lineRule="auto"/>
              <w:jc w:val="center"/>
              <w:rPr>
                <w:bCs/>
                <w:i/>
                <w:iCs/>
                <w:sz w:val="22"/>
                <w:szCs w:val="22"/>
                <w:lang w:eastAsia="en-US"/>
              </w:rPr>
            </w:pPr>
            <w:r w:rsidRPr="00F13554">
              <w:rPr>
                <w:bCs/>
                <w:i/>
                <w:sz w:val="22"/>
                <w:szCs w:val="22"/>
              </w:rPr>
              <w:t>DPP 20</w:t>
            </w:r>
            <w:r w:rsidR="002949C6" w:rsidRPr="00F13554">
              <w:rPr>
                <w:bCs/>
                <w:i/>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6221EE" w:rsidRPr="00F13554" w:rsidRDefault="006D2BE1" w:rsidP="006D2BE1">
            <w:pPr>
              <w:pStyle w:val="Delibera"/>
              <w:spacing w:line="240" w:lineRule="auto"/>
              <w:jc w:val="center"/>
              <w:rPr>
                <w:bCs/>
                <w:i/>
                <w:sz w:val="22"/>
                <w:szCs w:val="22"/>
              </w:rPr>
            </w:pPr>
            <w:r w:rsidRPr="00F13554">
              <w:rPr>
                <w:bCs/>
                <w:i/>
                <w:sz w:val="22"/>
                <w:szCs w:val="22"/>
              </w:rPr>
              <w:t>C</w:t>
            </w:r>
            <w:r w:rsidR="006221EE" w:rsidRPr="00F13554">
              <w:rPr>
                <w:bCs/>
                <w:i/>
                <w:sz w:val="22"/>
                <w:szCs w:val="22"/>
              </w:rPr>
              <w:t>onsuntivo</w:t>
            </w:r>
            <w:r w:rsidRPr="00F13554">
              <w:rPr>
                <w:bCs/>
                <w:i/>
                <w:sz w:val="22"/>
                <w:szCs w:val="22"/>
              </w:rPr>
              <w:t xml:space="preserve"> </w:t>
            </w:r>
            <w:r w:rsidR="006221EE" w:rsidRPr="00F13554">
              <w:rPr>
                <w:bCs/>
                <w:i/>
                <w:sz w:val="22"/>
                <w:szCs w:val="22"/>
              </w:rPr>
              <w:t>201</w:t>
            </w:r>
            <w:r w:rsidR="00F13554">
              <w:rPr>
                <w:bCs/>
                <w:i/>
                <w:sz w:val="22"/>
                <w:szCs w:val="22"/>
              </w:rPr>
              <w:t>9</w:t>
            </w:r>
          </w:p>
        </w:tc>
      </w:tr>
      <w:tr w:rsidR="006221EE" w:rsidRPr="00F13554" w:rsidTr="006D2BE1">
        <w:tc>
          <w:tcPr>
            <w:tcW w:w="3119" w:type="dxa"/>
            <w:tcBorders>
              <w:top w:val="single" w:sz="4" w:space="0" w:color="auto"/>
              <w:left w:val="single" w:sz="4" w:space="0" w:color="auto"/>
              <w:bottom w:val="single" w:sz="4" w:space="0" w:color="auto"/>
              <w:right w:val="single" w:sz="4" w:space="0" w:color="auto"/>
            </w:tcBorders>
          </w:tcPr>
          <w:p w:rsidR="006221EE" w:rsidRPr="00F13554" w:rsidRDefault="006221EE" w:rsidP="00312AB1">
            <w:pPr>
              <w:pStyle w:val="Delibera"/>
              <w:tabs>
                <w:tab w:val="clear" w:pos="567"/>
                <w:tab w:val="clear" w:pos="851"/>
                <w:tab w:val="clear" w:pos="1134"/>
                <w:tab w:val="clear" w:pos="1418"/>
                <w:tab w:val="clear" w:pos="1701"/>
              </w:tabs>
              <w:spacing w:line="240" w:lineRule="auto"/>
              <w:ind w:left="72" w:right="-1"/>
              <w:rPr>
                <w:bCs/>
                <w:iCs/>
                <w:sz w:val="22"/>
                <w:szCs w:val="22"/>
                <w:lang w:val="de-DE" w:eastAsia="en-US"/>
              </w:rPr>
            </w:pPr>
            <w:r w:rsidRPr="00F13554">
              <w:rPr>
                <w:color w:val="000000"/>
                <w:sz w:val="22"/>
                <w:szCs w:val="22"/>
                <w:lang w:eastAsia="en-US"/>
              </w:rPr>
              <w:t>Risultato di esercizio delle imprese direttamente esercitate</w:t>
            </w:r>
          </w:p>
        </w:tc>
        <w:tc>
          <w:tcPr>
            <w:tcW w:w="1701" w:type="dxa"/>
            <w:tcBorders>
              <w:top w:val="single" w:sz="4" w:space="0" w:color="auto"/>
              <w:left w:val="single" w:sz="4" w:space="0" w:color="auto"/>
              <w:bottom w:val="single" w:sz="4" w:space="0" w:color="auto"/>
              <w:right w:val="single" w:sz="4" w:space="0" w:color="auto"/>
            </w:tcBorders>
          </w:tcPr>
          <w:p w:rsidR="006221EE" w:rsidRPr="00C06691" w:rsidRDefault="006D2DCC" w:rsidP="00D37532">
            <w:pPr>
              <w:pStyle w:val="Delibera"/>
              <w:spacing w:line="240" w:lineRule="auto"/>
              <w:jc w:val="center"/>
              <w:rPr>
                <w:b/>
                <w:bCs/>
                <w:sz w:val="22"/>
                <w:szCs w:val="22"/>
              </w:rPr>
            </w:pPr>
            <w:r w:rsidRPr="00C06691">
              <w:rPr>
                <w:b/>
                <w:bCs/>
                <w:sz w:val="22"/>
                <w:szCs w:val="22"/>
              </w:rPr>
              <w:t>50.000</w:t>
            </w:r>
          </w:p>
        </w:tc>
        <w:tc>
          <w:tcPr>
            <w:tcW w:w="1559" w:type="dxa"/>
            <w:tcBorders>
              <w:top w:val="single" w:sz="4" w:space="0" w:color="auto"/>
              <w:left w:val="single" w:sz="4" w:space="0" w:color="auto"/>
              <w:bottom w:val="single" w:sz="4" w:space="0" w:color="auto"/>
              <w:right w:val="single" w:sz="4" w:space="0" w:color="auto"/>
            </w:tcBorders>
          </w:tcPr>
          <w:p w:rsidR="006221EE" w:rsidRPr="00F13554" w:rsidRDefault="005A3229" w:rsidP="00D37532">
            <w:pPr>
              <w:pStyle w:val="Delibera"/>
              <w:spacing w:line="240" w:lineRule="auto"/>
              <w:jc w:val="center"/>
              <w:rPr>
                <w:bCs/>
                <w:sz w:val="22"/>
                <w:szCs w:val="22"/>
              </w:rPr>
            </w:pPr>
            <w:r w:rsidRPr="00F13554">
              <w:rPr>
                <w:bCs/>
                <w:sz w:val="22"/>
                <w:szCs w:val="22"/>
              </w:rPr>
              <w:t>50.000</w:t>
            </w:r>
          </w:p>
        </w:tc>
        <w:tc>
          <w:tcPr>
            <w:tcW w:w="1701" w:type="dxa"/>
            <w:tcBorders>
              <w:top w:val="single" w:sz="4" w:space="0" w:color="auto"/>
              <w:left w:val="single" w:sz="4" w:space="0" w:color="auto"/>
              <w:bottom w:val="single" w:sz="4" w:space="0" w:color="auto"/>
              <w:right w:val="single" w:sz="4" w:space="0" w:color="auto"/>
            </w:tcBorders>
          </w:tcPr>
          <w:p w:rsidR="006221EE" w:rsidRPr="00F13554" w:rsidRDefault="002F44A7" w:rsidP="00D37532">
            <w:pPr>
              <w:pStyle w:val="Delibera"/>
              <w:spacing w:line="240" w:lineRule="auto"/>
              <w:jc w:val="center"/>
              <w:rPr>
                <w:bCs/>
                <w:i/>
                <w:sz w:val="22"/>
                <w:szCs w:val="22"/>
              </w:rPr>
            </w:pPr>
            <w:r w:rsidRPr="00F13554">
              <w:rPr>
                <w:bCs/>
                <w:i/>
                <w:sz w:val="22"/>
                <w:szCs w:val="22"/>
              </w:rPr>
              <w:t>(</w:t>
            </w:r>
            <w:r w:rsidR="00553730" w:rsidRPr="00F13554">
              <w:rPr>
                <w:bCs/>
                <w:i/>
                <w:sz w:val="22"/>
                <w:szCs w:val="22"/>
              </w:rPr>
              <w:t>18.</w:t>
            </w:r>
            <w:r w:rsidRPr="00F13554">
              <w:rPr>
                <w:bCs/>
                <w:i/>
                <w:sz w:val="22"/>
                <w:szCs w:val="22"/>
              </w:rPr>
              <w:t>574)</w:t>
            </w:r>
          </w:p>
        </w:tc>
      </w:tr>
    </w:tbl>
    <w:p w:rsidR="001B7F63" w:rsidRDefault="001B7F63"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rPr>
          <w:rFonts w:ascii="Times New Roman" w:eastAsiaTheme="minorHAnsi" w:hAnsi="Times New Roman"/>
          <w:color w:val="000000"/>
          <w:sz w:val="22"/>
          <w:szCs w:val="22"/>
          <w:lang w:eastAsia="en-US"/>
        </w:rPr>
      </w:pPr>
    </w:p>
    <w:p w:rsidR="001B7F63" w:rsidRPr="00277BF5" w:rsidRDefault="001B7F63"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rPr>
          <w:rFonts w:ascii="Times New Roman" w:eastAsiaTheme="minorHAnsi" w:hAnsi="Times New Roman"/>
          <w:color w:val="000000"/>
          <w:sz w:val="22"/>
          <w:szCs w:val="22"/>
          <w:lang w:eastAsia="en-US"/>
        </w:rPr>
      </w:pPr>
    </w:p>
    <w:p w:rsidR="006221EE" w:rsidRPr="00277BF5" w:rsidRDefault="006221EE" w:rsidP="006221EE">
      <w:pPr>
        <w:ind w:right="-1"/>
        <w:rPr>
          <w:rFonts w:ascii="Times New Roman" w:hAnsi="Times New Roman"/>
          <w:b/>
          <w:bCs/>
          <w:iCs/>
          <w:sz w:val="22"/>
          <w:szCs w:val="22"/>
        </w:rPr>
      </w:pPr>
      <w:r w:rsidRPr="00277BF5">
        <w:rPr>
          <w:rFonts w:ascii="Times New Roman" w:hAnsi="Times New Roman"/>
          <w:b/>
          <w:bCs/>
          <w:iCs/>
          <w:sz w:val="22"/>
          <w:szCs w:val="22"/>
        </w:rPr>
        <w:t xml:space="preserve">ALTRI </w:t>
      </w:r>
      <w:r w:rsidR="000B32A1">
        <w:rPr>
          <w:rFonts w:ascii="Times New Roman" w:hAnsi="Times New Roman"/>
          <w:b/>
          <w:bCs/>
          <w:iCs/>
          <w:sz w:val="22"/>
          <w:szCs w:val="22"/>
        </w:rPr>
        <w:t>P</w:t>
      </w:r>
      <w:r w:rsidRPr="00277BF5">
        <w:rPr>
          <w:rFonts w:ascii="Times New Roman" w:hAnsi="Times New Roman"/>
          <w:b/>
          <w:bCs/>
          <w:iCs/>
          <w:sz w:val="22"/>
          <w:szCs w:val="22"/>
        </w:rPr>
        <w:t>ROVENTI</w:t>
      </w:r>
    </w:p>
    <w:tbl>
      <w:tblPr>
        <w:tblW w:w="8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829"/>
        <w:gridCol w:w="1418"/>
        <w:gridCol w:w="1714"/>
      </w:tblGrid>
      <w:tr w:rsidR="006221EE" w:rsidRPr="002F44A7" w:rsidTr="006D2BE1">
        <w:tc>
          <w:tcPr>
            <w:tcW w:w="3119" w:type="dxa"/>
            <w:tcBorders>
              <w:top w:val="single" w:sz="4" w:space="0" w:color="auto"/>
              <w:left w:val="single" w:sz="4" w:space="0" w:color="auto"/>
              <w:bottom w:val="single" w:sz="4" w:space="0" w:color="auto"/>
              <w:right w:val="single" w:sz="4" w:space="0" w:color="auto"/>
            </w:tcBorders>
          </w:tcPr>
          <w:p w:rsidR="006221EE" w:rsidRPr="002F44A7" w:rsidRDefault="006221EE" w:rsidP="00D37532">
            <w:pPr>
              <w:pStyle w:val="Delibera"/>
              <w:ind w:left="180" w:right="-1" w:hanging="180"/>
              <w:rPr>
                <w:bCs/>
                <w:iCs/>
                <w:sz w:val="22"/>
                <w:szCs w:val="22"/>
                <w:lang w:val="de-DE" w:eastAsia="en-US"/>
              </w:rPr>
            </w:pPr>
          </w:p>
        </w:tc>
        <w:tc>
          <w:tcPr>
            <w:tcW w:w="1829" w:type="dxa"/>
            <w:tcBorders>
              <w:top w:val="single" w:sz="4" w:space="0" w:color="auto"/>
              <w:left w:val="single" w:sz="4" w:space="0" w:color="auto"/>
              <w:bottom w:val="single" w:sz="4" w:space="0" w:color="auto"/>
              <w:right w:val="single" w:sz="4" w:space="0" w:color="auto"/>
            </w:tcBorders>
            <w:hideMark/>
          </w:tcPr>
          <w:p w:rsidR="006221EE" w:rsidRPr="002F44A7" w:rsidRDefault="006221EE" w:rsidP="00D37532">
            <w:pPr>
              <w:pStyle w:val="Delibera"/>
              <w:spacing w:line="240" w:lineRule="auto"/>
              <w:jc w:val="center"/>
              <w:rPr>
                <w:bCs/>
                <w:iCs/>
                <w:sz w:val="22"/>
                <w:szCs w:val="22"/>
                <w:lang w:eastAsia="en-US"/>
              </w:rPr>
            </w:pPr>
            <w:r w:rsidRPr="002F44A7">
              <w:rPr>
                <w:bCs/>
                <w:sz w:val="22"/>
                <w:szCs w:val="22"/>
              </w:rPr>
              <w:t>DPP 20</w:t>
            </w:r>
            <w:r w:rsidR="005A3229" w:rsidRPr="002F44A7">
              <w:rPr>
                <w:bCs/>
                <w:sz w:val="22"/>
                <w:szCs w:val="22"/>
              </w:rPr>
              <w:t>2</w:t>
            </w:r>
            <w:r w:rsidR="002F44A7" w:rsidRPr="002F44A7">
              <w:rPr>
                <w:bCs/>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6221EE" w:rsidRPr="002F44A7" w:rsidRDefault="006221EE" w:rsidP="00D37532">
            <w:pPr>
              <w:pStyle w:val="Delibera"/>
              <w:spacing w:line="240" w:lineRule="auto"/>
              <w:jc w:val="center"/>
              <w:rPr>
                <w:bCs/>
                <w:i/>
                <w:iCs/>
                <w:sz w:val="22"/>
                <w:szCs w:val="22"/>
                <w:lang w:eastAsia="en-US"/>
              </w:rPr>
            </w:pPr>
            <w:r w:rsidRPr="002F44A7">
              <w:rPr>
                <w:bCs/>
                <w:i/>
                <w:sz w:val="22"/>
                <w:szCs w:val="22"/>
              </w:rPr>
              <w:t>DPP 20</w:t>
            </w:r>
            <w:r w:rsidR="002F44A7" w:rsidRPr="002F44A7">
              <w:rPr>
                <w:bCs/>
                <w:i/>
                <w:sz w:val="22"/>
                <w:szCs w:val="22"/>
              </w:rPr>
              <w:t>20</w:t>
            </w:r>
          </w:p>
        </w:tc>
        <w:tc>
          <w:tcPr>
            <w:tcW w:w="1714" w:type="dxa"/>
            <w:tcBorders>
              <w:top w:val="single" w:sz="4" w:space="0" w:color="auto"/>
              <w:left w:val="single" w:sz="4" w:space="0" w:color="auto"/>
              <w:bottom w:val="single" w:sz="4" w:space="0" w:color="auto"/>
              <w:right w:val="single" w:sz="4" w:space="0" w:color="auto"/>
            </w:tcBorders>
          </w:tcPr>
          <w:p w:rsidR="006221EE" w:rsidRPr="002F44A7" w:rsidRDefault="006D2BE1" w:rsidP="006D2BE1">
            <w:pPr>
              <w:pStyle w:val="Delibera"/>
              <w:spacing w:line="240" w:lineRule="auto"/>
              <w:jc w:val="center"/>
              <w:rPr>
                <w:bCs/>
                <w:i/>
                <w:sz w:val="22"/>
                <w:szCs w:val="22"/>
              </w:rPr>
            </w:pPr>
            <w:r w:rsidRPr="002F44A7">
              <w:rPr>
                <w:bCs/>
                <w:i/>
                <w:sz w:val="22"/>
                <w:szCs w:val="22"/>
              </w:rPr>
              <w:t>C</w:t>
            </w:r>
            <w:r w:rsidR="006221EE" w:rsidRPr="002F44A7">
              <w:rPr>
                <w:bCs/>
                <w:i/>
                <w:sz w:val="22"/>
                <w:szCs w:val="22"/>
              </w:rPr>
              <w:t>onsuntivo</w:t>
            </w:r>
            <w:r w:rsidRPr="002F44A7">
              <w:rPr>
                <w:bCs/>
                <w:i/>
                <w:sz w:val="22"/>
                <w:szCs w:val="22"/>
              </w:rPr>
              <w:t xml:space="preserve"> </w:t>
            </w:r>
            <w:r w:rsidR="006221EE" w:rsidRPr="002F44A7">
              <w:rPr>
                <w:bCs/>
                <w:i/>
                <w:sz w:val="22"/>
                <w:szCs w:val="22"/>
              </w:rPr>
              <w:t>201</w:t>
            </w:r>
            <w:r w:rsidR="002F44A7" w:rsidRPr="002F44A7">
              <w:rPr>
                <w:bCs/>
                <w:i/>
                <w:sz w:val="22"/>
                <w:szCs w:val="22"/>
              </w:rPr>
              <w:t>9</w:t>
            </w:r>
          </w:p>
        </w:tc>
      </w:tr>
      <w:tr w:rsidR="006221EE" w:rsidRPr="002F44A7" w:rsidTr="006D2BE1">
        <w:tc>
          <w:tcPr>
            <w:tcW w:w="3119" w:type="dxa"/>
            <w:tcBorders>
              <w:top w:val="single" w:sz="4" w:space="0" w:color="auto"/>
              <w:left w:val="single" w:sz="4" w:space="0" w:color="auto"/>
              <w:bottom w:val="single" w:sz="4" w:space="0" w:color="auto"/>
              <w:right w:val="single" w:sz="4" w:space="0" w:color="auto"/>
            </w:tcBorders>
            <w:hideMark/>
          </w:tcPr>
          <w:p w:rsidR="006221EE" w:rsidRPr="002F44A7" w:rsidRDefault="006221EE" w:rsidP="00D37532">
            <w:pPr>
              <w:pStyle w:val="Delibera"/>
              <w:spacing w:line="240" w:lineRule="auto"/>
              <w:rPr>
                <w:bCs/>
                <w:iCs/>
                <w:sz w:val="22"/>
                <w:szCs w:val="22"/>
                <w:lang w:eastAsia="en-US"/>
              </w:rPr>
            </w:pPr>
            <w:r w:rsidRPr="002F44A7">
              <w:rPr>
                <w:bCs/>
                <w:iCs/>
                <w:sz w:val="22"/>
                <w:szCs w:val="22"/>
                <w:lang w:eastAsia="en-US"/>
              </w:rPr>
              <w:t>Interessi da c\c bancari</w:t>
            </w:r>
          </w:p>
        </w:tc>
        <w:tc>
          <w:tcPr>
            <w:tcW w:w="1829" w:type="dxa"/>
            <w:tcBorders>
              <w:top w:val="single" w:sz="4" w:space="0" w:color="auto"/>
              <w:left w:val="single" w:sz="4" w:space="0" w:color="auto"/>
              <w:bottom w:val="single" w:sz="4" w:space="0" w:color="auto"/>
              <w:right w:val="single" w:sz="4" w:space="0" w:color="auto"/>
            </w:tcBorders>
            <w:hideMark/>
          </w:tcPr>
          <w:p w:rsidR="006221EE" w:rsidRPr="00C06691" w:rsidRDefault="002F44A7" w:rsidP="006D2DCC">
            <w:pPr>
              <w:pStyle w:val="Delibera"/>
              <w:ind w:right="-1"/>
              <w:jc w:val="center"/>
              <w:rPr>
                <w:b/>
                <w:bCs/>
                <w:iCs/>
                <w:sz w:val="22"/>
                <w:szCs w:val="22"/>
                <w:lang w:eastAsia="en-US"/>
              </w:rPr>
            </w:pPr>
            <w:r w:rsidRPr="00C06691">
              <w:rPr>
                <w:b/>
                <w:bCs/>
                <w:iCs/>
                <w:sz w:val="22"/>
                <w:szCs w:val="22"/>
                <w:lang w:eastAsia="en-US"/>
              </w:rPr>
              <w:t>1</w:t>
            </w:r>
            <w:r w:rsidR="005A3229" w:rsidRPr="00C06691">
              <w:rPr>
                <w:b/>
                <w:bCs/>
                <w:iCs/>
                <w:sz w:val="22"/>
                <w:szCs w:val="22"/>
                <w:lang w:eastAsia="en-US"/>
              </w:rPr>
              <w:t>.</w:t>
            </w:r>
            <w:r w:rsidR="006244F6" w:rsidRPr="00C06691">
              <w:rPr>
                <w:b/>
                <w:bCs/>
                <w:iCs/>
                <w:sz w:val="22"/>
                <w:szCs w:val="22"/>
                <w:lang w:eastAsia="en-US"/>
              </w:rPr>
              <w:t>0</w:t>
            </w:r>
            <w:r w:rsidR="005A3229" w:rsidRPr="00C06691">
              <w:rPr>
                <w:b/>
                <w:bCs/>
                <w:iCs/>
                <w:sz w:val="22"/>
                <w:szCs w:val="22"/>
                <w:lang w:eastAsia="en-US"/>
              </w:rPr>
              <w:t>00</w:t>
            </w:r>
          </w:p>
        </w:tc>
        <w:tc>
          <w:tcPr>
            <w:tcW w:w="1418" w:type="dxa"/>
            <w:tcBorders>
              <w:top w:val="single" w:sz="4" w:space="0" w:color="auto"/>
              <w:left w:val="single" w:sz="4" w:space="0" w:color="auto"/>
              <w:bottom w:val="single" w:sz="4" w:space="0" w:color="auto"/>
              <w:right w:val="single" w:sz="4" w:space="0" w:color="auto"/>
            </w:tcBorders>
          </w:tcPr>
          <w:p w:rsidR="006221EE" w:rsidRPr="002F44A7" w:rsidRDefault="002F44A7" w:rsidP="00D37532">
            <w:pPr>
              <w:pStyle w:val="Delibera"/>
              <w:ind w:right="-1"/>
              <w:jc w:val="center"/>
              <w:rPr>
                <w:bCs/>
                <w:i/>
                <w:iCs/>
                <w:sz w:val="22"/>
                <w:szCs w:val="22"/>
                <w:lang w:eastAsia="en-US"/>
              </w:rPr>
            </w:pPr>
            <w:r w:rsidRPr="002F44A7">
              <w:rPr>
                <w:bCs/>
                <w:iCs/>
                <w:sz w:val="22"/>
                <w:szCs w:val="22"/>
                <w:lang w:eastAsia="en-US"/>
              </w:rPr>
              <w:t>10.000</w:t>
            </w:r>
          </w:p>
        </w:tc>
        <w:tc>
          <w:tcPr>
            <w:tcW w:w="1714" w:type="dxa"/>
            <w:tcBorders>
              <w:top w:val="single" w:sz="4" w:space="0" w:color="auto"/>
              <w:left w:val="single" w:sz="4" w:space="0" w:color="auto"/>
              <w:bottom w:val="single" w:sz="4" w:space="0" w:color="auto"/>
              <w:right w:val="single" w:sz="4" w:space="0" w:color="auto"/>
            </w:tcBorders>
          </w:tcPr>
          <w:p w:rsidR="006221EE" w:rsidRPr="002F44A7" w:rsidRDefault="002F44A7" w:rsidP="00D37532">
            <w:pPr>
              <w:pStyle w:val="Delibera"/>
              <w:ind w:right="-1"/>
              <w:jc w:val="center"/>
              <w:rPr>
                <w:bCs/>
                <w:i/>
                <w:iCs/>
                <w:sz w:val="22"/>
                <w:szCs w:val="22"/>
                <w:lang w:eastAsia="en-US"/>
              </w:rPr>
            </w:pPr>
            <w:r w:rsidRPr="002F44A7">
              <w:rPr>
                <w:bCs/>
                <w:i/>
                <w:iCs/>
                <w:sz w:val="22"/>
                <w:szCs w:val="22"/>
                <w:lang w:eastAsia="en-US"/>
              </w:rPr>
              <w:t>1.495</w:t>
            </w:r>
          </w:p>
        </w:tc>
      </w:tr>
    </w:tbl>
    <w:p w:rsidR="0019726C" w:rsidRPr="00277BF5" w:rsidRDefault="0019726C" w:rsidP="006221EE">
      <w:pPr>
        <w:rPr>
          <w:rFonts w:ascii="Times New Roman" w:hAnsi="Times New Roman"/>
          <w:sz w:val="22"/>
          <w:szCs w:val="22"/>
        </w:rPr>
      </w:pPr>
    </w:p>
    <w:p w:rsidR="0019726C" w:rsidRPr="00277BF5" w:rsidRDefault="006221EE" w:rsidP="0019726C">
      <w:pPr>
        <w:pStyle w:val="Titolo6"/>
        <w:spacing w:line="240" w:lineRule="auto"/>
        <w:ind w:left="0" w:firstLine="0"/>
        <w:jc w:val="left"/>
        <w:rPr>
          <w:rFonts w:ascii="Times New Roman" w:hAnsi="Times New Roman" w:cs="Times New Roman"/>
          <w:sz w:val="22"/>
          <w:szCs w:val="22"/>
        </w:rPr>
      </w:pPr>
      <w:r w:rsidRPr="00277BF5">
        <w:rPr>
          <w:rFonts w:ascii="Times New Roman" w:hAnsi="Times New Roman" w:cs="Times New Roman"/>
          <w:sz w:val="22"/>
          <w:szCs w:val="22"/>
        </w:rPr>
        <w:t>RIEPILOGO PROVENTI TOTALI</w:t>
      </w:r>
    </w:p>
    <w:tbl>
      <w:tblPr>
        <w:tblW w:w="8062" w:type="dxa"/>
        <w:tblInd w:w="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63"/>
        <w:gridCol w:w="1590"/>
        <w:gridCol w:w="1590"/>
      </w:tblGrid>
      <w:tr w:rsidR="002F44A7" w:rsidRPr="00277BF5" w:rsidTr="002F44A7">
        <w:trPr>
          <w:trHeight w:hRule="exact" w:val="592"/>
        </w:trPr>
        <w:tc>
          <w:tcPr>
            <w:tcW w:w="3119"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2F44A7" w:rsidRPr="00277BF5" w:rsidRDefault="002F44A7" w:rsidP="002F44A7">
            <w:pPr>
              <w:pStyle w:val="Corpodeltesto2"/>
              <w:spacing w:line="240" w:lineRule="auto"/>
              <w:jc w:val="left"/>
              <w:rPr>
                <w:b w:val="0"/>
                <w:bCs w:val="0"/>
                <w:szCs w:val="22"/>
                <w:lang w:eastAsia="en-US"/>
              </w:rPr>
            </w:pP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2F44A7" w:rsidRPr="00277BF5" w:rsidRDefault="002F44A7" w:rsidP="002F44A7">
            <w:pPr>
              <w:pStyle w:val="Delibera"/>
              <w:ind w:right="-1"/>
              <w:jc w:val="center"/>
              <w:rPr>
                <w:bCs/>
                <w:szCs w:val="22"/>
              </w:rPr>
            </w:pPr>
            <w:r w:rsidRPr="00277BF5">
              <w:rPr>
                <w:bCs/>
                <w:sz w:val="22"/>
                <w:szCs w:val="22"/>
              </w:rPr>
              <w:t>DPP 202</w:t>
            </w:r>
            <w:r w:rsidR="00D952AD">
              <w:rPr>
                <w:bCs/>
                <w:sz w:val="22"/>
                <w:szCs w:val="22"/>
              </w:rPr>
              <w:t>1</w:t>
            </w:r>
          </w:p>
        </w:tc>
        <w:tc>
          <w:tcPr>
            <w:tcW w:w="1590" w:type="dxa"/>
            <w:tcBorders>
              <w:top w:val="single" w:sz="2" w:space="0" w:color="auto"/>
              <w:left w:val="single" w:sz="2" w:space="0" w:color="auto"/>
              <w:bottom w:val="single" w:sz="4" w:space="0" w:color="auto"/>
              <w:right w:val="single" w:sz="2" w:space="0" w:color="auto"/>
            </w:tcBorders>
            <w:vAlign w:val="center"/>
          </w:tcPr>
          <w:p w:rsidR="002F44A7" w:rsidRPr="006D2BE1" w:rsidRDefault="002F44A7" w:rsidP="002F44A7">
            <w:pPr>
              <w:pStyle w:val="Delibera"/>
              <w:ind w:right="-1"/>
              <w:jc w:val="center"/>
              <w:rPr>
                <w:bCs/>
                <w:i/>
                <w:szCs w:val="22"/>
              </w:rPr>
            </w:pPr>
            <w:r w:rsidRPr="006D2BE1">
              <w:rPr>
                <w:bCs/>
                <w:i/>
                <w:sz w:val="22"/>
                <w:szCs w:val="22"/>
              </w:rPr>
              <w:t>DPP 2</w:t>
            </w:r>
            <w:r w:rsidR="00D952AD">
              <w:rPr>
                <w:bCs/>
                <w:i/>
                <w:sz w:val="22"/>
                <w:szCs w:val="22"/>
              </w:rPr>
              <w:t>020</w:t>
            </w:r>
          </w:p>
        </w:tc>
        <w:tc>
          <w:tcPr>
            <w:tcW w:w="1590" w:type="dxa"/>
            <w:tcBorders>
              <w:top w:val="single" w:sz="2" w:space="0" w:color="auto"/>
              <w:left w:val="single" w:sz="2" w:space="0" w:color="auto"/>
              <w:bottom w:val="single" w:sz="4" w:space="0" w:color="auto"/>
              <w:right w:val="single" w:sz="2" w:space="0" w:color="auto"/>
            </w:tcBorders>
            <w:vAlign w:val="center"/>
          </w:tcPr>
          <w:p w:rsidR="002F44A7" w:rsidRPr="00277BF5" w:rsidRDefault="002F44A7" w:rsidP="002F44A7">
            <w:pPr>
              <w:pStyle w:val="Delibera"/>
              <w:spacing w:line="240" w:lineRule="auto"/>
              <w:jc w:val="center"/>
              <w:rPr>
                <w:bCs/>
                <w:i/>
                <w:szCs w:val="22"/>
              </w:rPr>
            </w:pPr>
            <w:r w:rsidRPr="00277BF5">
              <w:rPr>
                <w:bCs/>
                <w:i/>
                <w:sz w:val="22"/>
                <w:szCs w:val="22"/>
              </w:rPr>
              <w:t>consuntivo</w:t>
            </w:r>
          </w:p>
          <w:p w:rsidR="002F44A7" w:rsidRPr="00277BF5" w:rsidRDefault="002F44A7" w:rsidP="002F44A7">
            <w:pPr>
              <w:pStyle w:val="Delibera"/>
              <w:ind w:right="-1"/>
              <w:jc w:val="center"/>
              <w:rPr>
                <w:bCs/>
                <w:szCs w:val="22"/>
              </w:rPr>
            </w:pPr>
            <w:r w:rsidRPr="00277BF5">
              <w:rPr>
                <w:bCs/>
                <w:i/>
                <w:sz w:val="22"/>
                <w:szCs w:val="22"/>
              </w:rPr>
              <w:t>201</w:t>
            </w:r>
            <w:r>
              <w:rPr>
                <w:bCs/>
                <w:i/>
                <w:sz w:val="22"/>
                <w:szCs w:val="22"/>
              </w:rPr>
              <w:t>9</w:t>
            </w:r>
          </w:p>
        </w:tc>
      </w:tr>
      <w:tr w:rsidR="002F44A7" w:rsidRPr="00277BF5" w:rsidTr="002F44A7">
        <w:trPr>
          <w:trHeight w:hRule="exact" w:val="592"/>
        </w:trPr>
        <w:tc>
          <w:tcPr>
            <w:tcW w:w="3119"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2F44A7" w:rsidRPr="00277BF5" w:rsidRDefault="002F44A7" w:rsidP="002F44A7">
            <w:pPr>
              <w:pStyle w:val="Corpodeltesto2"/>
              <w:spacing w:line="240" w:lineRule="auto"/>
              <w:jc w:val="left"/>
              <w:rPr>
                <w:b w:val="0"/>
                <w:bCs w:val="0"/>
                <w:szCs w:val="22"/>
                <w:lang w:eastAsia="en-US"/>
              </w:rPr>
            </w:pPr>
            <w:r w:rsidRPr="00277BF5">
              <w:rPr>
                <w:b w:val="0"/>
                <w:bCs w:val="0"/>
                <w:sz w:val="22"/>
                <w:szCs w:val="22"/>
                <w:lang w:eastAsia="en-US"/>
              </w:rPr>
              <w:t xml:space="preserve">Gestioni patrimoniali </w:t>
            </w:r>
          </w:p>
          <w:p w:rsidR="002F44A7" w:rsidRPr="00277BF5" w:rsidRDefault="002F44A7" w:rsidP="002F44A7">
            <w:pPr>
              <w:spacing w:line="276" w:lineRule="auto"/>
              <w:rPr>
                <w:rFonts w:ascii="Times New Roman" w:hAnsi="Times New Roman"/>
                <w:bCs/>
                <w:iCs/>
                <w:szCs w:val="22"/>
                <w:lang w:eastAsia="en-US"/>
              </w:rPr>
            </w:pP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2F44A7" w:rsidRPr="006244F6" w:rsidRDefault="007E6FDF" w:rsidP="002F44A7">
            <w:pPr>
              <w:pStyle w:val="Delibera"/>
              <w:ind w:right="-1"/>
              <w:jc w:val="right"/>
              <w:rPr>
                <w:bCs/>
                <w:iCs/>
                <w:sz w:val="22"/>
                <w:szCs w:val="22"/>
                <w:lang w:eastAsia="en-US"/>
              </w:rPr>
            </w:pPr>
            <w:r>
              <w:rPr>
                <w:bCs/>
                <w:iCs/>
                <w:sz w:val="22"/>
                <w:szCs w:val="22"/>
                <w:lang w:eastAsia="en-US"/>
              </w:rPr>
              <w:t>1.</w:t>
            </w:r>
            <w:r w:rsidR="00B97E55">
              <w:rPr>
                <w:bCs/>
                <w:iCs/>
                <w:sz w:val="22"/>
                <w:szCs w:val="22"/>
                <w:lang w:eastAsia="en-US"/>
              </w:rPr>
              <w:t>050</w:t>
            </w:r>
            <w:r>
              <w:rPr>
                <w:bCs/>
                <w:iCs/>
                <w:sz w:val="22"/>
                <w:szCs w:val="22"/>
                <w:lang w:eastAsia="en-US"/>
              </w:rPr>
              <w:t>.000</w:t>
            </w:r>
          </w:p>
        </w:tc>
        <w:tc>
          <w:tcPr>
            <w:tcW w:w="1590" w:type="dxa"/>
            <w:tcBorders>
              <w:top w:val="single" w:sz="2" w:space="0" w:color="auto"/>
              <w:left w:val="single" w:sz="2" w:space="0" w:color="auto"/>
              <w:bottom w:val="single" w:sz="4" w:space="0" w:color="auto"/>
              <w:right w:val="single" w:sz="2" w:space="0" w:color="auto"/>
            </w:tcBorders>
            <w:vAlign w:val="center"/>
          </w:tcPr>
          <w:p w:rsidR="002F44A7" w:rsidRPr="006244F6" w:rsidRDefault="002F44A7" w:rsidP="002F44A7">
            <w:pPr>
              <w:pStyle w:val="Delibera"/>
              <w:ind w:right="-1"/>
              <w:jc w:val="right"/>
              <w:rPr>
                <w:bCs/>
                <w:iCs/>
                <w:sz w:val="22"/>
                <w:szCs w:val="22"/>
                <w:lang w:eastAsia="en-US"/>
              </w:rPr>
            </w:pPr>
            <w:r w:rsidRPr="006244F6">
              <w:rPr>
                <w:bCs/>
                <w:iCs/>
                <w:sz w:val="22"/>
                <w:szCs w:val="22"/>
                <w:lang w:eastAsia="en-US"/>
              </w:rPr>
              <w:t>1.053.000</w:t>
            </w:r>
          </w:p>
        </w:tc>
        <w:tc>
          <w:tcPr>
            <w:tcW w:w="1590" w:type="dxa"/>
            <w:tcBorders>
              <w:top w:val="single" w:sz="2" w:space="0" w:color="auto"/>
              <w:left w:val="single" w:sz="2" w:space="0" w:color="auto"/>
              <w:bottom w:val="single" w:sz="4" w:space="0" w:color="auto"/>
              <w:right w:val="single" w:sz="2" w:space="0" w:color="auto"/>
            </w:tcBorders>
            <w:vAlign w:val="center"/>
          </w:tcPr>
          <w:p w:rsidR="002F44A7" w:rsidRPr="006244F6" w:rsidRDefault="002F44A7" w:rsidP="002F44A7">
            <w:pPr>
              <w:pStyle w:val="Delibera"/>
              <w:ind w:right="-1"/>
              <w:jc w:val="right"/>
              <w:rPr>
                <w:bCs/>
                <w:i/>
                <w:sz w:val="22"/>
                <w:szCs w:val="22"/>
              </w:rPr>
            </w:pPr>
            <w:r w:rsidRPr="006244F6">
              <w:rPr>
                <w:bCs/>
                <w:i/>
                <w:sz w:val="22"/>
                <w:szCs w:val="22"/>
              </w:rPr>
              <w:t>2.949.490</w:t>
            </w:r>
          </w:p>
        </w:tc>
      </w:tr>
      <w:tr w:rsidR="002F44A7" w:rsidRPr="00277BF5" w:rsidTr="002F44A7">
        <w:trPr>
          <w:trHeight w:hRule="exact" w:val="572"/>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277BF5" w:rsidRDefault="002F44A7" w:rsidP="002F44A7">
            <w:pPr>
              <w:pStyle w:val="Corpodeltesto2"/>
              <w:spacing w:line="240" w:lineRule="auto"/>
              <w:jc w:val="left"/>
              <w:rPr>
                <w:b w:val="0"/>
                <w:bCs w:val="0"/>
                <w:szCs w:val="22"/>
                <w:lang w:eastAsia="en-US"/>
              </w:rPr>
            </w:pPr>
            <w:r w:rsidRPr="00277BF5">
              <w:rPr>
                <w:b w:val="0"/>
                <w:bCs w:val="0"/>
                <w:iCs/>
                <w:sz w:val="22"/>
                <w:szCs w:val="22"/>
                <w:lang w:eastAsia="en-US"/>
              </w:rPr>
              <w:t>Partecipazioni</w:t>
            </w:r>
          </w:p>
          <w:p w:rsidR="002F44A7" w:rsidRPr="00277BF5" w:rsidRDefault="002F44A7" w:rsidP="002F44A7">
            <w:pPr>
              <w:pStyle w:val="Corpodeltesto2"/>
              <w:spacing w:line="240" w:lineRule="auto"/>
              <w:jc w:val="left"/>
              <w:rPr>
                <w:b w:val="0"/>
                <w:szCs w:val="22"/>
                <w:lang w:eastAsia="en-US"/>
              </w:rPr>
            </w:pP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6244F6" w:rsidRDefault="00B97E55" w:rsidP="002F44A7">
            <w:pPr>
              <w:pStyle w:val="Delibera"/>
              <w:ind w:right="-1"/>
              <w:jc w:val="right"/>
              <w:rPr>
                <w:bCs/>
                <w:iCs/>
                <w:sz w:val="22"/>
                <w:szCs w:val="22"/>
                <w:lang w:eastAsia="en-US"/>
              </w:rPr>
            </w:pPr>
            <w:r>
              <w:rPr>
                <w:bCs/>
                <w:iCs/>
                <w:sz w:val="22"/>
                <w:szCs w:val="22"/>
                <w:lang w:eastAsia="en-US"/>
              </w:rPr>
              <w:t>500</w:t>
            </w:r>
            <w:r w:rsidR="006244F6">
              <w:rPr>
                <w:bCs/>
                <w:iCs/>
                <w:sz w:val="22"/>
                <w:szCs w:val="22"/>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pStyle w:val="Delibera"/>
              <w:ind w:right="-1"/>
              <w:jc w:val="right"/>
              <w:rPr>
                <w:bCs/>
                <w:iCs/>
                <w:sz w:val="22"/>
                <w:szCs w:val="22"/>
                <w:lang w:eastAsia="en-US"/>
              </w:rPr>
            </w:pPr>
            <w:r w:rsidRPr="006244F6">
              <w:rPr>
                <w:bCs/>
                <w:iCs/>
                <w:sz w:val="22"/>
                <w:szCs w:val="22"/>
                <w:lang w:eastAsia="en-US"/>
              </w:rPr>
              <w:t>400.000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pStyle w:val="Delibera"/>
              <w:ind w:right="-1"/>
              <w:jc w:val="right"/>
              <w:rPr>
                <w:bCs/>
                <w:i/>
                <w:iCs/>
                <w:sz w:val="22"/>
                <w:szCs w:val="22"/>
                <w:lang w:eastAsia="en-US"/>
              </w:rPr>
            </w:pPr>
            <w:r w:rsidRPr="006244F6">
              <w:rPr>
                <w:bCs/>
                <w:i/>
                <w:iCs/>
                <w:sz w:val="22"/>
                <w:szCs w:val="22"/>
                <w:lang w:eastAsia="en-US"/>
              </w:rPr>
              <w:t>1.087.888</w:t>
            </w:r>
          </w:p>
        </w:tc>
      </w:tr>
      <w:tr w:rsidR="002F44A7" w:rsidRPr="00277BF5" w:rsidTr="002F44A7">
        <w:trPr>
          <w:trHeight w:hRule="exact" w:val="572"/>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277BF5" w:rsidRDefault="002F44A7" w:rsidP="002F44A7">
            <w:pPr>
              <w:pStyle w:val="Corpodeltesto2"/>
              <w:spacing w:line="240" w:lineRule="auto"/>
              <w:jc w:val="left"/>
              <w:rPr>
                <w:b w:val="0"/>
                <w:bCs w:val="0"/>
                <w:iCs/>
                <w:szCs w:val="22"/>
                <w:lang w:eastAsia="en-US"/>
              </w:rPr>
            </w:pPr>
            <w:r w:rsidRPr="00277BF5">
              <w:rPr>
                <w:b w:val="0"/>
                <w:bCs w:val="0"/>
                <w:iCs/>
                <w:sz w:val="22"/>
                <w:szCs w:val="22"/>
                <w:lang w:eastAsia="en-US"/>
              </w:rPr>
              <w:t>Impresa strumentale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6244F6" w:rsidRDefault="006244F6" w:rsidP="002F44A7">
            <w:pPr>
              <w:pStyle w:val="Delibera"/>
              <w:ind w:right="-1"/>
              <w:jc w:val="right"/>
              <w:rPr>
                <w:iCs/>
                <w:sz w:val="22"/>
                <w:szCs w:val="22"/>
              </w:rPr>
            </w:pPr>
            <w:r w:rsidRPr="006244F6">
              <w:rPr>
                <w:iCs/>
                <w:sz w:val="22"/>
                <w:szCs w:val="22"/>
              </w:rPr>
              <w:t>50.000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pStyle w:val="Delibera"/>
              <w:ind w:right="-1"/>
              <w:jc w:val="right"/>
              <w:rPr>
                <w:iCs/>
                <w:sz w:val="22"/>
                <w:szCs w:val="22"/>
              </w:rPr>
            </w:pPr>
            <w:r w:rsidRPr="006244F6">
              <w:rPr>
                <w:iCs/>
                <w:sz w:val="22"/>
                <w:szCs w:val="22"/>
              </w:rPr>
              <w:t>50.000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pStyle w:val="Delibera"/>
              <w:ind w:right="-1"/>
              <w:jc w:val="right"/>
              <w:rPr>
                <w:i/>
                <w:iCs/>
                <w:sz w:val="22"/>
                <w:szCs w:val="22"/>
              </w:rPr>
            </w:pPr>
            <w:r w:rsidRPr="006244F6">
              <w:rPr>
                <w:bCs/>
                <w:i/>
                <w:sz w:val="22"/>
                <w:szCs w:val="22"/>
              </w:rPr>
              <w:t>(18.574)</w:t>
            </w:r>
          </w:p>
        </w:tc>
      </w:tr>
      <w:tr w:rsidR="002F44A7" w:rsidRPr="00277BF5" w:rsidTr="002F44A7">
        <w:trPr>
          <w:trHeight w:hRule="exact" w:val="565"/>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277BF5" w:rsidRDefault="002F44A7" w:rsidP="002F44A7">
            <w:pPr>
              <w:pStyle w:val="Delibera"/>
              <w:spacing w:line="240" w:lineRule="auto"/>
              <w:rPr>
                <w:bCs/>
                <w:iCs/>
                <w:szCs w:val="22"/>
                <w:lang w:eastAsia="en-US"/>
              </w:rPr>
            </w:pPr>
          </w:p>
          <w:p w:rsidR="002F44A7" w:rsidRPr="00277BF5" w:rsidRDefault="002F44A7" w:rsidP="002F44A7">
            <w:pPr>
              <w:pStyle w:val="Delibera"/>
              <w:spacing w:line="240" w:lineRule="auto"/>
              <w:rPr>
                <w:bCs/>
                <w:iCs/>
                <w:szCs w:val="22"/>
                <w:lang w:eastAsia="en-US"/>
              </w:rPr>
            </w:pPr>
            <w:r w:rsidRPr="00277BF5">
              <w:rPr>
                <w:bCs/>
                <w:iCs/>
                <w:sz w:val="22"/>
                <w:szCs w:val="22"/>
                <w:lang w:eastAsia="en-US"/>
              </w:rPr>
              <w:t>c/c bancari</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6244F6" w:rsidRDefault="006244F6" w:rsidP="002F44A7">
            <w:pPr>
              <w:spacing w:line="276" w:lineRule="auto"/>
              <w:ind w:right="-1"/>
              <w:jc w:val="right"/>
              <w:rPr>
                <w:rFonts w:ascii="Times New Roman" w:hAnsi="Times New Roman"/>
                <w:bCs/>
                <w:iCs/>
                <w:sz w:val="22"/>
                <w:szCs w:val="22"/>
                <w:lang w:eastAsia="en-US"/>
              </w:rPr>
            </w:pPr>
            <w:r>
              <w:rPr>
                <w:rFonts w:ascii="Times New Roman" w:hAnsi="Times New Roman"/>
                <w:bCs/>
                <w:iCs/>
                <w:sz w:val="22"/>
                <w:szCs w:val="22"/>
                <w:lang w:eastAsia="en-US"/>
              </w:rPr>
              <w:t>1.000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spacing w:line="276" w:lineRule="auto"/>
              <w:ind w:right="-1"/>
              <w:jc w:val="right"/>
              <w:rPr>
                <w:rFonts w:ascii="Times New Roman" w:hAnsi="Times New Roman"/>
                <w:bCs/>
                <w:iCs/>
                <w:sz w:val="22"/>
                <w:szCs w:val="22"/>
                <w:lang w:eastAsia="en-US"/>
              </w:rPr>
            </w:pPr>
            <w:r w:rsidRPr="006244F6">
              <w:rPr>
                <w:rFonts w:ascii="Times New Roman" w:hAnsi="Times New Roman"/>
                <w:bCs/>
                <w:iCs/>
                <w:sz w:val="22"/>
                <w:szCs w:val="22"/>
                <w:lang w:eastAsia="en-US"/>
              </w:rPr>
              <w:t>10.000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6244F6" w:rsidRDefault="002F44A7" w:rsidP="002F44A7">
            <w:pPr>
              <w:spacing w:line="276" w:lineRule="auto"/>
              <w:ind w:right="-1"/>
              <w:jc w:val="right"/>
              <w:rPr>
                <w:rFonts w:ascii="Times New Roman" w:hAnsi="Times New Roman"/>
                <w:bCs/>
                <w:i/>
                <w:iCs/>
                <w:sz w:val="22"/>
                <w:szCs w:val="22"/>
                <w:lang w:eastAsia="en-US"/>
              </w:rPr>
            </w:pPr>
            <w:r w:rsidRPr="006244F6">
              <w:rPr>
                <w:rFonts w:ascii="Times New Roman" w:hAnsi="Times New Roman"/>
                <w:bCs/>
                <w:i/>
                <w:iCs/>
                <w:sz w:val="22"/>
                <w:szCs w:val="22"/>
                <w:lang w:eastAsia="en-US"/>
              </w:rPr>
              <w:t>1.495</w:t>
            </w:r>
          </w:p>
        </w:tc>
      </w:tr>
      <w:tr w:rsidR="002F44A7" w:rsidRPr="00277BF5" w:rsidTr="002F44A7">
        <w:trPr>
          <w:trHeight w:hRule="exact" w:val="565"/>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F13554" w:rsidRDefault="002F44A7" w:rsidP="002F44A7">
            <w:pPr>
              <w:pStyle w:val="Delibera"/>
              <w:spacing w:line="240" w:lineRule="auto"/>
              <w:rPr>
                <w:bCs/>
                <w:iCs/>
                <w:sz w:val="22"/>
                <w:szCs w:val="22"/>
                <w:lang w:eastAsia="en-US"/>
              </w:rPr>
            </w:pPr>
            <w:r w:rsidRPr="00F13554">
              <w:rPr>
                <w:bCs/>
                <w:iCs/>
                <w:sz w:val="22"/>
                <w:szCs w:val="22"/>
                <w:lang w:eastAsia="en-US"/>
              </w:rPr>
              <w:t xml:space="preserve">Altri proventi </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F13554" w:rsidRDefault="00EE3227" w:rsidP="002F44A7">
            <w:pPr>
              <w:spacing w:line="276" w:lineRule="auto"/>
              <w:ind w:right="-1"/>
              <w:jc w:val="right"/>
              <w:rPr>
                <w:rFonts w:ascii="Times New Roman" w:hAnsi="Times New Roman"/>
                <w:bCs/>
                <w:iCs/>
                <w:sz w:val="22"/>
                <w:szCs w:val="22"/>
                <w:lang w:eastAsia="en-US"/>
              </w:rPr>
            </w:pPr>
            <w:r w:rsidRPr="00F13554">
              <w:rPr>
                <w:rFonts w:ascii="Times New Roman" w:hAnsi="Times New Roman"/>
                <w:bCs/>
                <w:iCs/>
                <w:sz w:val="22"/>
                <w:szCs w:val="22"/>
                <w:lang w:eastAsia="en-US"/>
              </w:rPr>
              <w:t>26.500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F13554" w:rsidRDefault="002F44A7" w:rsidP="002F44A7">
            <w:pPr>
              <w:spacing w:line="276" w:lineRule="auto"/>
              <w:ind w:right="-1"/>
              <w:jc w:val="right"/>
              <w:rPr>
                <w:rFonts w:ascii="Times New Roman" w:hAnsi="Times New Roman"/>
                <w:bCs/>
                <w:iCs/>
                <w:sz w:val="22"/>
                <w:szCs w:val="22"/>
                <w:lang w:eastAsia="en-US"/>
              </w:rPr>
            </w:pPr>
            <w:r w:rsidRPr="00F13554">
              <w:rPr>
                <w:rFonts w:ascii="Times New Roman" w:hAnsi="Times New Roman"/>
                <w:bCs/>
                <w:iCs/>
                <w:sz w:val="22"/>
                <w:szCs w:val="22"/>
                <w:lang w:eastAsia="en-US"/>
              </w:rPr>
              <w:t>26.500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F13554" w:rsidRDefault="002F44A7" w:rsidP="002F44A7">
            <w:pPr>
              <w:spacing w:line="276" w:lineRule="auto"/>
              <w:ind w:right="-1"/>
              <w:jc w:val="right"/>
              <w:rPr>
                <w:rFonts w:ascii="Times New Roman" w:hAnsi="Times New Roman"/>
                <w:bCs/>
                <w:i/>
                <w:iCs/>
                <w:sz w:val="22"/>
                <w:szCs w:val="22"/>
                <w:lang w:eastAsia="en-US"/>
              </w:rPr>
            </w:pPr>
            <w:r w:rsidRPr="00F13554">
              <w:rPr>
                <w:rFonts w:ascii="Times New Roman" w:hAnsi="Times New Roman"/>
                <w:bCs/>
                <w:i/>
                <w:iCs/>
                <w:sz w:val="22"/>
                <w:szCs w:val="22"/>
                <w:lang w:eastAsia="en-US"/>
              </w:rPr>
              <w:t>0</w:t>
            </w:r>
          </w:p>
        </w:tc>
      </w:tr>
      <w:tr w:rsidR="002F44A7" w:rsidRPr="00277BF5" w:rsidTr="002F44A7">
        <w:trPr>
          <w:trHeight w:hRule="exact" w:val="701"/>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F13554" w:rsidRDefault="002F44A7" w:rsidP="002F44A7">
            <w:pPr>
              <w:pStyle w:val="Corpodeltesto21"/>
              <w:spacing w:line="276" w:lineRule="auto"/>
              <w:rPr>
                <w:rFonts w:ascii="Times New Roman" w:hAnsi="Times New Roman"/>
                <w:b w:val="0"/>
                <w:bCs/>
                <w:iCs/>
                <w:sz w:val="22"/>
                <w:szCs w:val="22"/>
                <w:lang w:eastAsia="en-US"/>
              </w:rPr>
            </w:pPr>
            <w:r w:rsidRPr="00F13554">
              <w:rPr>
                <w:rFonts w:ascii="Times New Roman" w:hAnsi="Times New Roman"/>
                <w:b w:val="0"/>
                <w:bCs/>
                <w:iCs/>
                <w:sz w:val="22"/>
                <w:szCs w:val="22"/>
                <w:lang w:eastAsia="en-US"/>
              </w:rPr>
              <w:t>TOTALE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F44A7" w:rsidRPr="00F13554" w:rsidRDefault="006244F6" w:rsidP="002F44A7">
            <w:pPr>
              <w:pStyle w:val="Delibera"/>
              <w:ind w:right="-1"/>
              <w:jc w:val="right"/>
              <w:rPr>
                <w:b/>
                <w:bCs/>
                <w:sz w:val="22"/>
                <w:szCs w:val="22"/>
                <w:lang w:eastAsia="en-US"/>
              </w:rPr>
            </w:pPr>
            <w:r w:rsidRPr="00F13554">
              <w:rPr>
                <w:b/>
                <w:bCs/>
                <w:sz w:val="22"/>
                <w:szCs w:val="22"/>
                <w:lang w:eastAsia="en-US"/>
              </w:rPr>
              <w:t>1.</w:t>
            </w:r>
            <w:r w:rsidR="00B97E55">
              <w:rPr>
                <w:b/>
                <w:bCs/>
                <w:sz w:val="22"/>
                <w:szCs w:val="22"/>
                <w:lang w:eastAsia="en-US"/>
              </w:rPr>
              <w:t>627.500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E42701" w:rsidRDefault="002F44A7" w:rsidP="002F44A7">
            <w:pPr>
              <w:pStyle w:val="Delibera"/>
              <w:ind w:right="-1"/>
              <w:jc w:val="right"/>
              <w:rPr>
                <w:bCs/>
                <w:sz w:val="22"/>
                <w:szCs w:val="22"/>
                <w:lang w:eastAsia="en-US"/>
              </w:rPr>
            </w:pPr>
            <w:r w:rsidRPr="00E42701">
              <w:rPr>
                <w:bCs/>
                <w:sz w:val="22"/>
                <w:szCs w:val="22"/>
                <w:lang w:eastAsia="en-US"/>
              </w:rPr>
              <w:t>1.539.500</w:t>
            </w:r>
          </w:p>
        </w:tc>
        <w:tc>
          <w:tcPr>
            <w:tcW w:w="1590" w:type="dxa"/>
            <w:tcBorders>
              <w:top w:val="single" w:sz="4" w:space="0" w:color="auto"/>
              <w:left w:val="single" w:sz="4" w:space="0" w:color="auto"/>
              <w:bottom w:val="single" w:sz="4" w:space="0" w:color="auto"/>
              <w:right w:val="single" w:sz="4" w:space="0" w:color="auto"/>
            </w:tcBorders>
            <w:vAlign w:val="center"/>
          </w:tcPr>
          <w:p w:rsidR="002F44A7" w:rsidRPr="00F13554" w:rsidRDefault="006244F6" w:rsidP="00F13554">
            <w:pPr>
              <w:jc w:val="right"/>
              <w:rPr>
                <w:rFonts w:ascii="Times New Roman" w:hAnsi="Times New Roman"/>
                <w:i/>
                <w:color w:val="000000"/>
                <w:sz w:val="22"/>
                <w:szCs w:val="22"/>
              </w:rPr>
            </w:pPr>
            <w:r w:rsidRPr="00F13554">
              <w:rPr>
                <w:rFonts w:ascii="Times New Roman" w:hAnsi="Times New Roman"/>
                <w:i/>
                <w:color w:val="000000"/>
                <w:sz w:val="22"/>
                <w:szCs w:val="22"/>
              </w:rPr>
              <w:t>4.057.447</w:t>
            </w:r>
          </w:p>
          <w:p w:rsidR="002F44A7" w:rsidRPr="00F13554" w:rsidRDefault="002F44A7" w:rsidP="002F44A7">
            <w:pPr>
              <w:pStyle w:val="Delibera"/>
              <w:ind w:right="-1"/>
              <w:jc w:val="right"/>
              <w:rPr>
                <w:bCs/>
                <w:i/>
                <w:sz w:val="22"/>
                <w:szCs w:val="22"/>
                <w:lang w:eastAsia="en-US"/>
              </w:rPr>
            </w:pPr>
          </w:p>
        </w:tc>
      </w:tr>
    </w:tbl>
    <w:p w:rsidR="00312AB1" w:rsidRDefault="00312AB1" w:rsidP="006221EE">
      <w:pPr>
        <w:pStyle w:val="Corpodeltesto2"/>
        <w:spacing w:line="240" w:lineRule="auto"/>
        <w:jc w:val="left"/>
      </w:pPr>
    </w:p>
    <w:p w:rsidR="0066346B" w:rsidRDefault="0066346B" w:rsidP="006221EE">
      <w:pPr>
        <w:pStyle w:val="Corpodeltesto2"/>
        <w:spacing w:line="240" w:lineRule="auto"/>
        <w:jc w:val="left"/>
      </w:pPr>
    </w:p>
    <w:p w:rsidR="0066346B" w:rsidRPr="00277BF5" w:rsidRDefault="0066346B" w:rsidP="006221EE">
      <w:pPr>
        <w:pStyle w:val="Corpodeltesto2"/>
        <w:spacing w:line="240" w:lineRule="auto"/>
        <w:jc w:val="left"/>
      </w:pPr>
    </w:p>
    <w:p w:rsidR="006221EE" w:rsidRPr="00895272" w:rsidRDefault="006221EE" w:rsidP="0019726C">
      <w:pPr>
        <w:pStyle w:val="Corpodeltesto2"/>
        <w:spacing w:line="240" w:lineRule="auto"/>
        <w:jc w:val="left"/>
        <w:rPr>
          <w:u w:val="single"/>
        </w:rPr>
      </w:pPr>
      <w:r w:rsidRPr="00895272">
        <w:rPr>
          <w:u w:val="single"/>
        </w:rPr>
        <w:t>ONERI DI GESTIONE</w:t>
      </w:r>
    </w:p>
    <w:p w:rsidR="004320DE" w:rsidRPr="00895272" w:rsidRDefault="004320DE" w:rsidP="006221EE">
      <w:pPr>
        <w:pStyle w:val="Corpodeltesto2"/>
        <w:spacing w:line="240" w:lineRule="auto"/>
      </w:pPr>
    </w:p>
    <w:p w:rsidR="004320DE" w:rsidRPr="00895272" w:rsidRDefault="004320DE" w:rsidP="004320DE">
      <w:pPr>
        <w:spacing w:line="360" w:lineRule="auto"/>
        <w:ind w:right="-1"/>
        <w:rPr>
          <w:rFonts w:ascii="Times New Roman" w:hAnsi="Times New Roman"/>
          <w:b/>
          <w:bCs/>
          <w:iCs/>
          <w:sz w:val="22"/>
          <w:szCs w:val="22"/>
        </w:rPr>
      </w:pPr>
      <w:r w:rsidRPr="00895272">
        <w:rPr>
          <w:rFonts w:ascii="Times New Roman" w:hAnsi="Times New Roman"/>
          <w:b/>
          <w:bCs/>
          <w:iCs/>
          <w:sz w:val="22"/>
          <w:szCs w:val="22"/>
        </w:rPr>
        <w:t>ONERI E AMMORTAMENTI</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701"/>
        <w:gridCol w:w="1701"/>
        <w:gridCol w:w="1701"/>
      </w:tblGrid>
      <w:tr w:rsidR="006244F6" w:rsidRPr="00895272" w:rsidTr="006244F6">
        <w:tc>
          <w:tcPr>
            <w:tcW w:w="3119" w:type="dxa"/>
            <w:shd w:val="clear" w:color="auto" w:fill="FFFFFF"/>
            <w:vAlign w:val="center"/>
          </w:tcPr>
          <w:p w:rsidR="006244F6" w:rsidRPr="00895272" w:rsidRDefault="006244F6" w:rsidP="006244F6">
            <w:pPr>
              <w:pStyle w:val="Delibera"/>
              <w:tabs>
                <w:tab w:val="left" w:pos="708"/>
              </w:tabs>
              <w:spacing w:line="240" w:lineRule="auto"/>
              <w:ind w:right="-1" w:firstLine="110"/>
              <w:rPr>
                <w:bCs/>
                <w:iCs/>
                <w:szCs w:val="22"/>
                <w:lang w:eastAsia="en-US"/>
              </w:rPr>
            </w:pPr>
          </w:p>
        </w:tc>
        <w:tc>
          <w:tcPr>
            <w:tcW w:w="1701" w:type="dxa"/>
            <w:vAlign w:val="center"/>
          </w:tcPr>
          <w:p w:rsidR="006244F6" w:rsidRPr="00895272" w:rsidRDefault="006244F6" w:rsidP="006244F6">
            <w:pPr>
              <w:pStyle w:val="Delibera"/>
              <w:spacing w:line="240" w:lineRule="auto"/>
              <w:ind w:right="-1"/>
              <w:jc w:val="center"/>
              <w:rPr>
                <w:bCs/>
                <w:i/>
                <w:iCs/>
                <w:szCs w:val="22"/>
                <w:lang w:eastAsia="en-US"/>
              </w:rPr>
            </w:pPr>
            <w:r w:rsidRPr="00895272">
              <w:rPr>
                <w:bCs/>
                <w:iCs/>
                <w:sz w:val="22"/>
                <w:szCs w:val="22"/>
                <w:lang w:eastAsia="en-US"/>
              </w:rPr>
              <w:t>DPP 202</w:t>
            </w:r>
            <w:r>
              <w:rPr>
                <w:bCs/>
                <w:iCs/>
                <w:sz w:val="22"/>
                <w:szCs w:val="22"/>
                <w:lang w:eastAsia="en-US"/>
              </w:rPr>
              <w:t>1</w:t>
            </w:r>
          </w:p>
        </w:tc>
        <w:tc>
          <w:tcPr>
            <w:tcW w:w="1701" w:type="dxa"/>
            <w:vAlign w:val="center"/>
          </w:tcPr>
          <w:p w:rsidR="006244F6" w:rsidRPr="00895272" w:rsidRDefault="006244F6" w:rsidP="006244F6">
            <w:pPr>
              <w:pStyle w:val="Delibera"/>
              <w:spacing w:line="240" w:lineRule="auto"/>
              <w:ind w:right="-1"/>
              <w:jc w:val="center"/>
              <w:rPr>
                <w:bCs/>
                <w:i/>
                <w:iCs/>
                <w:szCs w:val="22"/>
                <w:lang w:eastAsia="en-US"/>
              </w:rPr>
            </w:pPr>
            <w:r w:rsidRPr="00895272">
              <w:rPr>
                <w:bCs/>
                <w:iCs/>
                <w:sz w:val="22"/>
                <w:szCs w:val="22"/>
                <w:lang w:eastAsia="en-US"/>
              </w:rPr>
              <w:t>DPP 2020</w:t>
            </w:r>
          </w:p>
        </w:tc>
        <w:tc>
          <w:tcPr>
            <w:tcW w:w="1701" w:type="dxa"/>
            <w:vAlign w:val="center"/>
          </w:tcPr>
          <w:p w:rsidR="006244F6" w:rsidRPr="00895272" w:rsidRDefault="006244F6" w:rsidP="006244F6">
            <w:pPr>
              <w:pStyle w:val="Delibera"/>
              <w:spacing w:line="240" w:lineRule="auto"/>
              <w:ind w:right="-1"/>
              <w:jc w:val="center"/>
              <w:rPr>
                <w:bCs/>
                <w:i/>
                <w:iCs/>
                <w:szCs w:val="22"/>
                <w:lang w:eastAsia="en-US"/>
              </w:rPr>
            </w:pPr>
            <w:r w:rsidRPr="00895272">
              <w:rPr>
                <w:bCs/>
                <w:i/>
                <w:iCs/>
                <w:sz w:val="22"/>
                <w:szCs w:val="22"/>
                <w:lang w:eastAsia="en-US"/>
              </w:rPr>
              <w:t>Consuntivo 201</w:t>
            </w:r>
            <w:r>
              <w:rPr>
                <w:bCs/>
                <w:i/>
                <w:iCs/>
                <w:sz w:val="22"/>
                <w:szCs w:val="22"/>
                <w:lang w:eastAsia="en-US"/>
              </w:rPr>
              <w:t>9</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jc w:val="left"/>
              <w:rPr>
                <w:rFonts w:ascii="Times New Roman" w:hAnsi="Times New Roman"/>
                <w:sz w:val="22"/>
                <w:szCs w:val="22"/>
                <w:lang w:eastAsia="en-US"/>
              </w:rPr>
            </w:pPr>
            <w:r w:rsidRPr="000F4AE6">
              <w:rPr>
                <w:rFonts w:ascii="Times New Roman" w:hAnsi="Times New Roman"/>
                <w:color w:val="000000"/>
                <w:spacing w:val="-5"/>
                <w:sz w:val="22"/>
                <w:szCs w:val="22"/>
                <w:lang w:eastAsia="en-US"/>
              </w:rPr>
              <w:t>compensi e rimborsi spese organi statutari</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141.000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141.000</w:t>
            </w:r>
          </w:p>
        </w:tc>
        <w:tc>
          <w:tcPr>
            <w:tcW w:w="1701" w:type="dxa"/>
            <w:vAlign w:val="center"/>
          </w:tcPr>
          <w:p w:rsidR="006244F6" w:rsidRPr="000F4AE6" w:rsidRDefault="006244F6"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151.707</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jc w:val="left"/>
              <w:rPr>
                <w:rFonts w:ascii="Times New Roman" w:hAnsi="Times New Roman"/>
                <w:sz w:val="22"/>
                <w:szCs w:val="22"/>
                <w:lang w:eastAsia="en-US"/>
              </w:rPr>
            </w:pPr>
            <w:r w:rsidRPr="000F4AE6">
              <w:rPr>
                <w:rFonts w:ascii="Times New Roman" w:hAnsi="Times New Roman"/>
                <w:color w:val="000000"/>
                <w:spacing w:val="2"/>
                <w:sz w:val="22"/>
                <w:szCs w:val="22"/>
                <w:lang w:eastAsia="en-US"/>
              </w:rPr>
              <w:t>per il personale</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1</w:t>
            </w:r>
            <w:r w:rsidR="00F21CA0" w:rsidRPr="000F4AE6">
              <w:rPr>
                <w:bCs/>
                <w:iCs/>
                <w:sz w:val="22"/>
                <w:szCs w:val="22"/>
                <w:lang w:eastAsia="en-US"/>
              </w:rPr>
              <w:t>9</w:t>
            </w:r>
            <w:r w:rsidRPr="000F4AE6">
              <w:rPr>
                <w:bCs/>
                <w:iCs/>
                <w:sz w:val="22"/>
                <w:szCs w:val="22"/>
                <w:lang w:eastAsia="en-US"/>
              </w:rPr>
              <w:t>0.000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180.000</w:t>
            </w:r>
          </w:p>
        </w:tc>
        <w:tc>
          <w:tcPr>
            <w:tcW w:w="1701" w:type="dxa"/>
            <w:vAlign w:val="center"/>
          </w:tcPr>
          <w:p w:rsidR="006244F6" w:rsidRPr="000F4AE6" w:rsidRDefault="006244F6"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194.687</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jc w:val="left"/>
              <w:rPr>
                <w:rFonts w:ascii="Times New Roman" w:hAnsi="Times New Roman"/>
                <w:sz w:val="22"/>
                <w:szCs w:val="22"/>
                <w:lang w:eastAsia="en-US"/>
              </w:rPr>
            </w:pPr>
            <w:r w:rsidRPr="000F4AE6">
              <w:rPr>
                <w:rFonts w:ascii="Times New Roman" w:hAnsi="Times New Roman"/>
                <w:color w:val="000000"/>
                <w:spacing w:val="-9"/>
                <w:sz w:val="22"/>
                <w:szCs w:val="22"/>
                <w:lang w:eastAsia="en-US"/>
              </w:rPr>
              <w:t>consulenti e collaboratori esterni</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9.000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9.000</w:t>
            </w:r>
          </w:p>
        </w:tc>
        <w:tc>
          <w:tcPr>
            <w:tcW w:w="1701" w:type="dxa"/>
            <w:vAlign w:val="center"/>
          </w:tcPr>
          <w:p w:rsidR="006244F6" w:rsidRPr="000F4AE6" w:rsidRDefault="00F21CA0"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8.653</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rPr>
                <w:rFonts w:ascii="Times New Roman" w:hAnsi="Times New Roman"/>
                <w:color w:val="000000"/>
                <w:spacing w:val="-9"/>
                <w:sz w:val="22"/>
                <w:szCs w:val="22"/>
                <w:lang w:eastAsia="en-US"/>
              </w:rPr>
            </w:pPr>
            <w:r w:rsidRPr="000F4AE6">
              <w:rPr>
                <w:rFonts w:ascii="Times New Roman" w:hAnsi="Times New Roman"/>
                <w:color w:val="000000"/>
                <w:spacing w:val="-9"/>
                <w:sz w:val="22"/>
                <w:szCs w:val="22"/>
                <w:lang w:eastAsia="en-US"/>
              </w:rPr>
              <w:t>di gestione del patrimonio</w:t>
            </w:r>
          </w:p>
        </w:tc>
        <w:tc>
          <w:tcPr>
            <w:tcW w:w="1701" w:type="dxa"/>
            <w:vAlign w:val="center"/>
          </w:tcPr>
          <w:p w:rsidR="006244F6" w:rsidRPr="000F4AE6" w:rsidRDefault="000F4AE6" w:rsidP="00F21CA0">
            <w:pPr>
              <w:pStyle w:val="Delibera"/>
              <w:spacing w:line="240" w:lineRule="auto"/>
              <w:ind w:right="-1"/>
              <w:jc w:val="right"/>
              <w:rPr>
                <w:bCs/>
                <w:iCs/>
                <w:sz w:val="22"/>
                <w:szCs w:val="22"/>
                <w:lang w:eastAsia="en-US"/>
              </w:rPr>
            </w:pPr>
            <w:r w:rsidRPr="000F4AE6">
              <w:rPr>
                <w:bCs/>
                <w:iCs/>
                <w:sz w:val="22"/>
                <w:szCs w:val="22"/>
                <w:lang w:eastAsia="en-US"/>
              </w:rPr>
              <w:t>133</w:t>
            </w:r>
            <w:r w:rsidR="006244F6" w:rsidRPr="000F4AE6">
              <w:rPr>
                <w:bCs/>
                <w:iCs/>
                <w:sz w:val="22"/>
                <w:szCs w:val="22"/>
                <w:lang w:eastAsia="en-US"/>
              </w:rPr>
              <w:t>.000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90.000</w:t>
            </w:r>
          </w:p>
        </w:tc>
        <w:tc>
          <w:tcPr>
            <w:tcW w:w="1701" w:type="dxa"/>
            <w:vAlign w:val="center"/>
          </w:tcPr>
          <w:p w:rsidR="006244F6" w:rsidRPr="000F4AE6" w:rsidRDefault="00F21CA0"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251.346</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jc w:val="left"/>
              <w:rPr>
                <w:rFonts w:ascii="Times New Roman" w:hAnsi="Times New Roman"/>
                <w:sz w:val="22"/>
                <w:szCs w:val="22"/>
                <w:lang w:eastAsia="en-US"/>
              </w:rPr>
            </w:pPr>
            <w:r w:rsidRPr="000F4AE6">
              <w:rPr>
                <w:rFonts w:ascii="Times New Roman" w:hAnsi="Times New Roman"/>
                <w:color w:val="000000"/>
                <w:spacing w:val="-9"/>
                <w:sz w:val="22"/>
                <w:szCs w:val="22"/>
                <w:lang w:eastAsia="en-US"/>
              </w:rPr>
              <w:t xml:space="preserve"> interessi passivi e altri oneri finanziari</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0</w:t>
            </w:r>
          </w:p>
        </w:tc>
        <w:tc>
          <w:tcPr>
            <w:tcW w:w="1701" w:type="dxa"/>
            <w:vAlign w:val="center"/>
          </w:tcPr>
          <w:p w:rsidR="006244F6" w:rsidRPr="000F4AE6" w:rsidRDefault="009D103E" w:rsidP="00F21CA0">
            <w:pPr>
              <w:spacing w:line="276" w:lineRule="auto"/>
              <w:jc w:val="right"/>
              <w:rPr>
                <w:rFonts w:ascii="Times New Roman" w:hAnsi="Times New Roman"/>
                <w:i/>
                <w:sz w:val="22"/>
                <w:szCs w:val="22"/>
                <w:lang w:eastAsia="en-US"/>
              </w:rPr>
            </w:pPr>
            <w:r>
              <w:rPr>
                <w:rFonts w:ascii="Times New Roman" w:hAnsi="Times New Roman"/>
                <w:i/>
                <w:sz w:val="22"/>
                <w:szCs w:val="22"/>
                <w:lang w:eastAsia="en-US"/>
              </w:rPr>
              <w:t>2.021</w:t>
            </w:r>
          </w:p>
        </w:tc>
      </w:tr>
      <w:tr w:rsidR="006244F6" w:rsidRPr="000F4AE6" w:rsidTr="006244F6">
        <w:trPr>
          <w:trHeight w:val="397"/>
        </w:trPr>
        <w:tc>
          <w:tcPr>
            <w:tcW w:w="3119" w:type="dxa"/>
            <w:shd w:val="clear" w:color="auto" w:fill="FFFFFF"/>
            <w:vAlign w:val="center"/>
          </w:tcPr>
          <w:p w:rsidR="006244F6" w:rsidRPr="000F4AE6" w:rsidRDefault="006244F6" w:rsidP="006244F6">
            <w:pPr>
              <w:spacing w:line="276" w:lineRule="auto"/>
              <w:jc w:val="left"/>
              <w:rPr>
                <w:rFonts w:ascii="Times New Roman" w:hAnsi="Times New Roman"/>
                <w:sz w:val="22"/>
                <w:szCs w:val="22"/>
                <w:lang w:eastAsia="en-US"/>
              </w:rPr>
            </w:pPr>
            <w:r w:rsidRPr="000F4AE6">
              <w:rPr>
                <w:rFonts w:ascii="Times New Roman" w:hAnsi="Times New Roman"/>
                <w:color w:val="000000"/>
                <w:sz w:val="22"/>
                <w:szCs w:val="22"/>
                <w:lang w:eastAsia="en-US"/>
              </w:rPr>
              <w:t>ammortamenti</w:t>
            </w:r>
          </w:p>
        </w:tc>
        <w:tc>
          <w:tcPr>
            <w:tcW w:w="1701" w:type="dxa"/>
            <w:vAlign w:val="center"/>
          </w:tcPr>
          <w:p w:rsidR="006244F6" w:rsidRPr="000F4AE6" w:rsidRDefault="00F21CA0" w:rsidP="00F21CA0">
            <w:pPr>
              <w:pStyle w:val="Delibera"/>
              <w:spacing w:line="240" w:lineRule="auto"/>
              <w:ind w:right="-1"/>
              <w:jc w:val="right"/>
              <w:rPr>
                <w:bCs/>
                <w:iCs/>
                <w:sz w:val="22"/>
                <w:szCs w:val="22"/>
                <w:lang w:eastAsia="en-US"/>
              </w:rPr>
            </w:pPr>
            <w:r w:rsidRPr="000F4AE6">
              <w:rPr>
                <w:bCs/>
                <w:iCs/>
                <w:sz w:val="22"/>
                <w:szCs w:val="22"/>
                <w:lang w:eastAsia="en-US"/>
              </w:rPr>
              <w:t>2</w:t>
            </w:r>
            <w:r w:rsidR="006244F6" w:rsidRPr="000F4AE6">
              <w:rPr>
                <w:bCs/>
                <w:iCs/>
                <w:sz w:val="22"/>
                <w:szCs w:val="22"/>
                <w:lang w:eastAsia="en-US"/>
              </w:rPr>
              <w:t>.</w:t>
            </w:r>
            <w:r w:rsidRPr="000F4AE6">
              <w:rPr>
                <w:bCs/>
                <w:iCs/>
                <w:sz w:val="22"/>
                <w:szCs w:val="22"/>
                <w:lang w:eastAsia="en-US"/>
              </w:rPr>
              <w:t>0</w:t>
            </w:r>
            <w:r w:rsidR="006244F6" w:rsidRPr="000F4AE6">
              <w:rPr>
                <w:bCs/>
                <w:iCs/>
                <w:sz w:val="22"/>
                <w:szCs w:val="22"/>
                <w:lang w:eastAsia="en-US"/>
              </w:rPr>
              <w:t>00</w:t>
            </w:r>
          </w:p>
        </w:tc>
        <w:tc>
          <w:tcPr>
            <w:tcW w:w="1701" w:type="dxa"/>
            <w:vAlign w:val="center"/>
          </w:tcPr>
          <w:p w:rsidR="006244F6" w:rsidRPr="000F4AE6" w:rsidRDefault="006244F6" w:rsidP="00F21CA0">
            <w:pPr>
              <w:pStyle w:val="Delibera"/>
              <w:spacing w:line="240" w:lineRule="auto"/>
              <w:ind w:right="-1"/>
              <w:jc w:val="right"/>
              <w:rPr>
                <w:bCs/>
                <w:iCs/>
                <w:sz w:val="22"/>
                <w:szCs w:val="22"/>
                <w:lang w:eastAsia="en-US"/>
              </w:rPr>
            </w:pPr>
            <w:r w:rsidRPr="000F4AE6">
              <w:rPr>
                <w:bCs/>
                <w:iCs/>
                <w:sz w:val="22"/>
                <w:szCs w:val="22"/>
                <w:lang w:eastAsia="en-US"/>
              </w:rPr>
              <w:t>4.500</w:t>
            </w:r>
          </w:p>
        </w:tc>
        <w:tc>
          <w:tcPr>
            <w:tcW w:w="1701" w:type="dxa"/>
            <w:vAlign w:val="center"/>
          </w:tcPr>
          <w:p w:rsidR="006244F6" w:rsidRPr="000F4AE6" w:rsidRDefault="006244F6"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1.</w:t>
            </w:r>
            <w:r w:rsidR="00F21CA0" w:rsidRPr="000F4AE6">
              <w:rPr>
                <w:rFonts w:ascii="Times New Roman" w:hAnsi="Times New Roman"/>
                <w:i/>
                <w:sz w:val="22"/>
                <w:szCs w:val="22"/>
                <w:lang w:eastAsia="en-US"/>
              </w:rPr>
              <w:t>739</w:t>
            </w:r>
          </w:p>
        </w:tc>
      </w:tr>
      <w:tr w:rsidR="006244F6" w:rsidRPr="000F4AE6" w:rsidTr="006244F6">
        <w:trPr>
          <w:trHeight w:val="397"/>
        </w:trPr>
        <w:tc>
          <w:tcPr>
            <w:tcW w:w="3119" w:type="dxa"/>
            <w:vAlign w:val="center"/>
          </w:tcPr>
          <w:p w:rsidR="006244F6" w:rsidRPr="000F4AE6" w:rsidRDefault="006244F6" w:rsidP="006244F6">
            <w:pPr>
              <w:spacing w:line="276" w:lineRule="auto"/>
              <w:jc w:val="left"/>
              <w:rPr>
                <w:rFonts w:ascii="Times New Roman" w:hAnsi="Times New Roman"/>
                <w:color w:val="000000"/>
                <w:sz w:val="22"/>
                <w:szCs w:val="22"/>
                <w:lang w:eastAsia="en-US"/>
              </w:rPr>
            </w:pPr>
          </w:p>
          <w:p w:rsidR="006244F6" w:rsidRPr="000F4AE6" w:rsidRDefault="006244F6" w:rsidP="006244F6">
            <w:pPr>
              <w:spacing w:line="276" w:lineRule="auto"/>
              <w:jc w:val="left"/>
              <w:rPr>
                <w:rFonts w:ascii="Times New Roman" w:hAnsi="Times New Roman"/>
                <w:sz w:val="22"/>
                <w:szCs w:val="22"/>
                <w:highlight w:val="yellow"/>
                <w:lang w:eastAsia="en-US"/>
              </w:rPr>
            </w:pPr>
            <w:r w:rsidRPr="000F4AE6">
              <w:rPr>
                <w:rFonts w:ascii="Times New Roman" w:hAnsi="Times New Roman"/>
                <w:color w:val="000000"/>
                <w:sz w:val="22"/>
                <w:szCs w:val="22"/>
                <w:lang w:eastAsia="en-US"/>
              </w:rPr>
              <w:t>altri oneri</w:t>
            </w:r>
          </w:p>
        </w:tc>
        <w:tc>
          <w:tcPr>
            <w:tcW w:w="1701" w:type="dxa"/>
            <w:vAlign w:val="center"/>
          </w:tcPr>
          <w:p w:rsidR="006244F6" w:rsidRPr="000F4AE6" w:rsidRDefault="00F21CA0" w:rsidP="00F21CA0">
            <w:pPr>
              <w:pStyle w:val="Delibera"/>
              <w:spacing w:line="240" w:lineRule="auto"/>
              <w:jc w:val="right"/>
              <w:rPr>
                <w:bCs/>
                <w:iCs/>
                <w:sz w:val="22"/>
                <w:szCs w:val="22"/>
                <w:lang w:eastAsia="en-US"/>
              </w:rPr>
            </w:pPr>
            <w:r w:rsidRPr="000F4AE6">
              <w:rPr>
                <w:bCs/>
                <w:iCs/>
                <w:sz w:val="22"/>
                <w:szCs w:val="22"/>
                <w:lang w:eastAsia="en-US"/>
              </w:rPr>
              <w:t>7</w:t>
            </w:r>
            <w:r w:rsidR="006244F6" w:rsidRPr="000F4AE6">
              <w:rPr>
                <w:bCs/>
                <w:iCs/>
                <w:sz w:val="22"/>
                <w:szCs w:val="22"/>
                <w:lang w:eastAsia="en-US"/>
              </w:rPr>
              <w:t>5.000</w:t>
            </w:r>
          </w:p>
        </w:tc>
        <w:tc>
          <w:tcPr>
            <w:tcW w:w="1701" w:type="dxa"/>
            <w:vAlign w:val="center"/>
          </w:tcPr>
          <w:p w:rsidR="006244F6" w:rsidRPr="000F4AE6" w:rsidRDefault="006244F6" w:rsidP="00F21CA0">
            <w:pPr>
              <w:pStyle w:val="Delibera"/>
              <w:spacing w:line="240" w:lineRule="auto"/>
              <w:jc w:val="right"/>
              <w:rPr>
                <w:bCs/>
                <w:iCs/>
                <w:sz w:val="22"/>
                <w:szCs w:val="22"/>
                <w:lang w:eastAsia="en-US"/>
              </w:rPr>
            </w:pPr>
            <w:r w:rsidRPr="000F4AE6">
              <w:rPr>
                <w:bCs/>
                <w:iCs/>
                <w:sz w:val="22"/>
                <w:szCs w:val="22"/>
                <w:lang w:eastAsia="en-US"/>
              </w:rPr>
              <w:t>85.000</w:t>
            </w:r>
          </w:p>
        </w:tc>
        <w:tc>
          <w:tcPr>
            <w:tcW w:w="1701" w:type="dxa"/>
            <w:vAlign w:val="center"/>
          </w:tcPr>
          <w:p w:rsidR="006244F6" w:rsidRPr="000F4AE6" w:rsidRDefault="00F21CA0" w:rsidP="00F21CA0">
            <w:pPr>
              <w:spacing w:line="276" w:lineRule="auto"/>
              <w:jc w:val="right"/>
              <w:rPr>
                <w:rFonts w:ascii="Times New Roman" w:hAnsi="Times New Roman"/>
                <w:i/>
                <w:sz w:val="22"/>
                <w:szCs w:val="22"/>
                <w:lang w:eastAsia="en-US"/>
              </w:rPr>
            </w:pPr>
            <w:r w:rsidRPr="000F4AE6">
              <w:rPr>
                <w:rFonts w:ascii="Times New Roman" w:hAnsi="Times New Roman"/>
                <w:i/>
                <w:sz w:val="22"/>
                <w:szCs w:val="22"/>
                <w:lang w:eastAsia="en-US"/>
              </w:rPr>
              <w:t>71.283</w:t>
            </w:r>
          </w:p>
        </w:tc>
      </w:tr>
      <w:tr w:rsidR="006244F6" w:rsidRPr="000F4AE6" w:rsidTr="006244F6">
        <w:trPr>
          <w:trHeight w:val="397"/>
        </w:trPr>
        <w:tc>
          <w:tcPr>
            <w:tcW w:w="3119" w:type="dxa"/>
            <w:vAlign w:val="center"/>
          </w:tcPr>
          <w:p w:rsidR="006244F6" w:rsidRPr="000F4AE6" w:rsidRDefault="006244F6" w:rsidP="006244F6">
            <w:pPr>
              <w:pStyle w:val="Delibera"/>
              <w:tabs>
                <w:tab w:val="left" w:pos="708"/>
              </w:tabs>
              <w:spacing w:line="240" w:lineRule="auto"/>
              <w:rPr>
                <w:b/>
                <w:bCs/>
                <w:iCs/>
                <w:sz w:val="22"/>
                <w:szCs w:val="22"/>
                <w:lang w:eastAsia="en-US"/>
              </w:rPr>
            </w:pPr>
            <w:r w:rsidRPr="000F4AE6">
              <w:rPr>
                <w:b/>
                <w:bCs/>
                <w:iCs/>
                <w:sz w:val="22"/>
                <w:szCs w:val="22"/>
                <w:lang w:eastAsia="en-US"/>
              </w:rPr>
              <w:t>TOTALE</w:t>
            </w:r>
          </w:p>
        </w:tc>
        <w:tc>
          <w:tcPr>
            <w:tcW w:w="1701" w:type="dxa"/>
            <w:vAlign w:val="center"/>
          </w:tcPr>
          <w:p w:rsidR="006244F6" w:rsidRPr="000F4AE6" w:rsidRDefault="006244F6" w:rsidP="00F21CA0">
            <w:pPr>
              <w:pStyle w:val="Delibera"/>
              <w:spacing w:line="240" w:lineRule="auto"/>
              <w:jc w:val="right"/>
              <w:rPr>
                <w:b/>
                <w:bCs/>
                <w:iCs/>
                <w:sz w:val="22"/>
                <w:szCs w:val="22"/>
                <w:lang w:eastAsia="en-US"/>
              </w:rPr>
            </w:pPr>
            <w:r w:rsidRPr="000F4AE6">
              <w:rPr>
                <w:b/>
                <w:bCs/>
                <w:iCs/>
                <w:sz w:val="22"/>
                <w:szCs w:val="22"/>
                <w:lang w:eastAsia="en-US"/>
              </w:rPr>
              <w:t>5</w:t>
            </w:r>
            <w:r w:rsidR="00F21CA0" w:rsidRPr="000F4AE6">
              <w:rPr>
                <w:b/>
                <w:bCs/>
                <w:iCs/>
                <w:sz w:val="22"/>
                <w:szCs w:val="22"/>
                <w:lang w:eastAsia="en-US"/>
              </w:rPr>
              <w:t>50.000</w:t>
            </w:r>
          </w:p>
        </w:tc>
        <w:tc>
          <w:tcPr>
            <w:tcW w:w="1701" w:type="dxa"/>
            <w:vAlign w:val="center"/>
          </w:tcPr>
          <w:p w:rsidR="006244F6" w:rsidRPr="00E42701" w:rsidRDefault="006244F6" w:rsidP="00F21CA0">
            <w:pPr>
              <w:pStyle w:val="Delibera"/>
              <w:spacing w:line="240" w:lineRule="auto"/>
              <w:jc w:val="right"/>
              <w:rPr>
                <w:bCs/>
                <w:iCs/>
                <w:sz w:val="22"/>
                <w:szCs w:val="22"/>
                <w:lang w:eastAsia="en-US"/>
              </w:rPr>
            </w:pPr>
            <w:r w:rsidRPr="00E42701">
              <w:rPr>
                <w:bCs/>
                <w:iCs/>
                <w:sz w:val="22"/>
                <w:szCs w:val="22"/>
                <w:lang w:eastAsia="en-US"/>
              </w:rPr>
              <w:t>509.500</w:t>
            </w:r>
          </w:p>
        </w:tc>
        <w:tc>
          <w:tcPr>
            <w:tcW w:w="1701" w:type="dxa"/>
            <w:vAlign w:val="center"/>
          </w:tcPr>
          <w:p w:rsidR="006244F6" w:rsidRPr="00E42701" w:rsidRDefault="009D103E" w:rsidP="00F21CA0">
            <w:pPr>
              <w:pStyle w:val="Delibera"/>
              <w:spacing w:line="240" w:lineRule="auto"/>
              <w:jc w:val="right"/>
              <w:rPr>
                <w:bCs/>
                <w:i/>
                <w:iCs/>
                <w:sz w:val="22"/>
                <w:szCs w:val="22"/>
                <w:lang w:eastAsia="en-US"/>
              </w:rPr>
            </w:pPr>
            <w:r w:rsidRPr="00E42701">
              <w:rPr>
                <w:bCs/>
                <w:i/>
                <w:iCs/>
                <w:sz w:val="22"/>
                <w:szCs w:val="22"/>
                <w:lang w:eastAsia="en-US"/>
              </w:rPr>
              <w:t>681.436</w:t>
            </w:r>
          </w:p>
        </w:tc>
      </w:tr>
    </w:tbl>
    <w:p w:rsidR="004320DE" w:rsidRPr="000E412C" w:rsidRDefault="004320DE" w:rsidP="006221EE">
      <w:pPr>
        <w:pStyle w:val="Corpodeltesto2"/>
        <w:spacing w:line="240" w:lineRule="auto"/>
        <w:rPr>
          <w:rFonts w:asciiTheme="minorHAnsi" w:hAnsiTheme="minorHAnsi"/>
        </w:rPr>
      </w:pPr>
    </w:p>
    <w:p w:rsidR="00A04DCB" w:rsidRPr="00A04DCB" w:rsidRDefault="00A04DCB" w:rsidP="00A04DCB"/>
    <w:p w:rsidR="00C5362A" w:rsidRDefault="00C5362A" w:rsidP="006221EE">
      <w:pPr>
        <w:pStyle w:val="Titolo4"/>
        <w:spacing w:line="240" w:lineRule="auto"/>
        <w:rPr>
          <w:szCs w:val="24"/>
          <w:u w:val="none"/>
        </w:rPr>
      </w:pPr>
    </w:p>
    <w:p w:rsidR="006221EE" w:rsidRPr="00895272" w:rsidRDefault="006221EE" w:rsidP="006221EE">
      <w:pPr>
        <w:pStyle w:val="Titolo4"/>
        <w:spacing w:line="240" w:lineRule="auto"/>
        <w:rPr>
          <w:b w:val="0"/>
          <w:szCs w:val="24"/>
          <w:u w:val="none"/>
        </w:rPr>
      </w:pPr>
      <w:r w:rsidRPr="00895272">
        <w:rPr>
          <w:szCs w:val="24"/>
          <w:u w:val="none"/>
        </w:rPr>
        <w:t xml:space="preserve">IMPOSTE E TASSE  </w:t>
      </w:r>
    </w:p>
    <w:p w:rsidR="00800B8A" w:rsidRPr="00895272" w:rsidRDefault="00800B8A" w:rsidP="00800B8A">
      <w:pPr>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701"/>
        <w:gridCol w:w="1701"/>
        <w:gridCol w:w="1701"/>
      </w:tblGrid>
      <w:tr w:rsidR="006221EE" w:rsidRPr="00F13554" w:rsidTr="00C5362A">
        <w:tc>
          <w:tcPr>
            <w:tcW w:w="3119" w:type="dxa"/>
            <w:shd w:val="clear" w:color="auto" w:fill="FFFFFF"/>
          </w:tcPr>
          <w:p w:rsidR="006221EE" w:rsidRPr="00F13554" w:rsidRDefault="006221EE" w:rsidP="00D37532">
            <w:pPr>
              <w:pStyle w:val="Delibera"/>
              <w:tabs>
                <w:tab w:val="left" w:pos="708"/>
              </w:tabs>
              <w:ind w:right="-1"/>
              <w:rPr>
                <w:bCs/>
                <w:iCs/>
                <w:sz w:val="22"/>
                <w:szCs w:val="22"/>
                <w:lang w:eastAsia="en-US"/>
              </w:rPr>
            </w:pPr>
          </w:p>
        </w:tc>
        <w:tc>
          <w:tcPr>
            <w:tcW w:w="1701" w:type="dxa"/>
            <w:hideMark/>
          </w:tcPr>
          <w:p w:rsidR="006221EE" w:rsidRPr="00E42701" w:rsidRDefault="006221EE" w:rsidP="00D37532">
            <w:pPr>
              <w:pStyle w:val="Delibera"/>
              <w:ind w:right="-1"/>
              <w:jc w:val="center"/>
              <w:rPr>
                <w:bCs/>
                <w:iCs/>
                <w:sz w:val="22"/>
                <w:szCs w:val="22"/>
                <w:lang w:eastAsia="en-US"/>
              </w:rPr>
            </w:pPr>
            <w:r w:rsidRPr="00E42701">
              <w:rPr>
                <w:bCs/>
                <w:iCs/>
                <w:sz w:val="22"/>
                <w:szCs w:val="22"/>
                <w:lang w:eastAsia="en-US"/>
              </w:rPr>
              <w:t>DPP 20</w:t>
            </w:r>
            <w:r w:rsidR="00895272" w:rsidRPr="00E42701">
              <w:rPr>
                <w:bCs/>
                <w:iCs/>
                <w:sz w:val="22"/>
                <w:szCs w:val="22"/>
                <w:lang w:eastAsia="en-US"/>
              </w:rPr>
              <w:t>2</w:t>
            </w:r>
            <w:r w:rsidR="000F4AE6" w:rsidRPr="00E42701">
              <w:rPr>
                <w:bCs/>
                <w:iCs/>
                <w:sz w:val="22"/>
                <w:szCs w:val="22"/>
                <w:lang w:eastAsia="en-US"/>
              </w:rPr>
              <w:t>1</w:t>
            </w:r>
          </w:p>
        </w:tc>
        <w:tc>
          <w:tcPr>
            <w:tcW w:w="1701" w:type="dxa"/>
          </w:tcPr>
          <w:p w:rsidR="006221EE" w:rsidRPr="00F13554" w:rsidRDefault="006221EE" w:rsidP="00D37532">
            <w:pPr>
              <w:pStyle w:val="Delibera"/>
              <w:tabs>
                <w:tab w:val="left" w:pos="644"/>
              </w:tabs>
              <w:ind w:left="824" w:right="-1" w:hanging="824"/>
              <w:jc w:val="center"/>
              <w:rPr>
                <w:bCs/>
                <w:i/>
                <w:iCs/>
                <w:sz w:val="22"/>
                <w:szCs w:val="22"/>
                <w:lang w:eastAsia="en-US"/>
              </w:rPr>
            </w:pPr>
            <w:r w:rsidRPr="00F13554">
              <w:rPr>
                <w:bCs/>
                <w:i/>
                <w:iCs/>
                <w:sz w:val="22"/>
                <w:szCs w:val="22"/>
                <w:lang w:eastAsia="en-US"/>
              </w:rPr>
              <w:t>DPP 20</w:t>
            </w:r>
            <w:r w:rsidR="000F4AE6" w:rsidRPr="00F13554">
              <w:rPr>
                <w:bCs/>
                <w:i/>
                <w:iCs/>
                <w:sz w:val="22"/>
                <w:szCs w:val="22"/>
                <w:lang w:eastAsia="en-US"/>
              </w:rPr>
              <w:t>20</w:t>
            </w:r>
          </w:p>
        </w:tc>
        <w:tc>
          <w:tcPr>
            <w:tcW w:w="1701" w:type="dxa"/>
            <w:hideMark/>
          </w:tcPr>
          <w:p w:rsidR="006221EE" w:rsidRPr="00F13554" w:rsidRDefault="006221EE" w:rsidP="00D37532">
            <w:pPr>
              <w:pStyle w:val="Delibera"/>
              <w:ind w:right="-1" w:firstLine="6"/>
              <w:jc w:val="center"/>
              <w:rPr>
                <w:bCs/>
                <w:i/>
                <w:iCs/>
                <w:sz w:val="22"/>
                <w:szCs w:val="22"/>
                <w:lang w:eastAsia="en-US"/>
              </w:rPr>
            </w:pPr>
            <w:r w:rsidRPr="00F13554">
              <w:rPr>
                <w:bCs/>
                <w:i/>
                <w:iCs/>
                <w:sz w:val="22"/>
                <w:szCs w:val="22"/>
                <w:lang w:eastAsia="en-US"/>
              </w:rPr>
              <w:t>Consuntivo 201</w:t>
            </w:r>
            <w:r w:rsidR="000F4AE6" w:rsidRPr="00F13554">
              <w:rPr>
                <w:bCs/>
                <w:i/>
                <w:iCs/>
                <w:sz w:val="22"/>
                <w:szCs w:val="22"/>
                <w:lang w:eastAsia="en-US"/>
              </w:rPr>
              <w:t>9</w:t>
            </w:r>
          </w:p>
        </w:tc>
      </w:tr>
      <w:tr w:rsidR="000F4AE6" w:rsidRPr="00F13554" w:rsidTr="00382492">
        <w:tc>
          <w:tcPr>
            <w:tcW w:w="3119" w:type="dxa"/>
            <w:shd w:val="clear" w:color="auto" w:fill="FFFFFF"/>
            <w:hideMark/>
          </w:tcPr>
          <w:p w:rsidR="000F4AE6" w:rsidRPr="00F13554" w:rsidRDefault="000F4AE6" w:rsidP="000F4AE6">
            <w:pPr>
              <w:pStyle w:val="Delibera"/>
              <w:tabs>
                <w:tab w:val="left" w:pos="708"/>
              </w:tabs>
              <w:spacing w:line="240" w:lineRule="auto"/>
              <w:rPr>
                <w:bCs/>
                <w:iCs/>
                <w:sz w:val="22"/>
                <w:szCs w:val="22"/>
                <w:lang w:eastAsia="en-US"/>
              </w:rPr>
            </w:pPr>
            <w:r w:rsidRPr="00F13554">
              <w:rPr>
                <w:bCs/>
                <w:iCs/>
                <w:sz w:val="22"/>
                <w:szCs w:val="22"/>
                <w:lang w:eastAsia="en-US"/>
              </w:rPr>
              <w:t xml:space="preserve">Imposte e tasse </w:t>
            </w:r>
          </w:p>
          <w:p w:rsidR="000F4AE6" w:rsidRPr="00F13554" w:rsidRDefault="000F4AE6" w:rsidP="000F4AE6">
            <w:pPr>
              <w:pStyle w:val="Delibera"/>
              <w:tabs>
                <w:tab w:val="left" w:pos="708"/>
              </w:tabs>
              <w:spacing w:line="240" w:lineRule="auto"/>
              <w:rPr>
                <w:bCs/>
                <w:iCs/>
                <w:sz w:val="22"/>
                <w:szCs w:val="22"/>
                <w:lang w:eastAsia="en-US"/>
              </w:rPr>
            </w:pPr>
          </w:p>
        </w:tc>
        <w:tc>
          <w:tcPr>
            <w:tcW w:w="1701" w:type="dxa"/>
            <w:hideMark/>
          </w:tcPr>
          <w:p w:rsidR="000F4AE6" w:rsidRPr="00F13554" w:rsidRDefault="000F4AE6" w:rsidP="000F4AE6">
            <w:pPr>
              <w:pStyle w:val="Delibera"/>
              <w:ind w:right="-1"/>
              <w:jc w:val="right"/>
              <w:rPr>
                <w:bCs/>
                <w:iCs/>
                <w:sz w:val="22"/>
                <w:szCs w:val="22"/>
                <w:lang w:eastAsia="en-US"/>
              </w:rPr>
            </w:pPr>
            <w:r w:rsidRPr="00F13554">
              <w:rPr>
                <w:b/>
                <w:bCs/>
                <w:iCs/>
                <w:sz w:val="22"/>
                <w:szCs w:val="22"/>
                <w:lang w:eastAsia="en-US"/>
              </w:rPr>
              <w:t>210.000</w:t>
            </w:r>
            <w:r w:rsidRPr="00F13554">
              <w:rPr>
                <w:bCs/>
                <w:iCs/>
                <w:sz w:val="22"/>
                <w:szCs w:val="22"/>
                <w:lang w:eastAsia="en-US"/>
              </w:rPr>
              <w:t xml:space="preserve">  </w:t>
            </w:r>
          </w:p>
        </w:tc>
        <w:tc>
          <w:tcPr>
            <w:tcW w:w="1701" w:type="dxa"/>
            <w:hideMark/>
          </w:tcPr>
          <w:p w:rsidR="000F4AE6" w:rsidRPr="00F13554" w:rsidRDefault="000F4AE6" w:rsidP="000F4AE6">
            <w:pPr>
              <w:pStyle w:val="Delibera"/>
              <w:ind w:right="-1"/>
              <w:jc w:val="right"/>
              <w:rPr>
                <w:bCs/>
                <w:i/>
                <w:iCs/>
                <w:sz w:val="22"/>
                <w:szCs w:val="22"/>
                <w:lang w:eastAsia="en-US"/>
              </w:rPr>
            </w:pPr>
            <w:r w:rsidRPr="00F13554">
              <w:rPr>
                <w:bCs/>
                <w:i/>
                <w:iCs/>
                <w:sz w:val="22"/>
                <w:szCs w:val="22"/>
                <w:lang w:eastAsia="en-US"/>
              </w:rPr>
              <w:t xml:space="preserve">210.000  </w:t>
            </w:r>
          </w:p>
        </w:tc>
        <w:tc>
          <w:tcPr>
            <w:tcW w:w="1701" w:type="dxa"/>
            <w:vAlign w:val="center"/>
          </w:tcPr>
          <w:p w:rsidR="000F4AE6" w:rsidRPr="00F13554" w:rsidRDefault="000F4AE6" w:rsidP="000F4AE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right"/>
              <w:textAlignment w:val="auto"/>
              <w:rPr>
                <w:rFonts w:ascii="Times New Roman" w:hAnsi="Times New Roman"/>
                <w:b/>
                <w:bCs/>
                <w:color w:val="000000"/>
                <w:sz w:val="22"/>
                <w:szCs w:val="22"/>
              </w:rPr>
            </w:pPr>
            <w:r w:rsidRPr="00F13554">
              <w:rPr>
                <w:rFonts w:ascii="Times New Roman" w:hAnsi="Times New Roman"/>
                <w:b/>
                <w:bCs/>
                <w:color w:val="000000"/>
                <w:sz w:val="22"/>
                <w:szCs w:val="22"/>
              </w:rPr>
              <w:t>(519.192)</w:t>
            </w:r>
          </w:p>
        </w:tc>
      </w:tr>
    </w:tbl>
    <w:p w:rsidR="006221EE" w:rsidRPr="000E412C" w:rsidRDefault="006221EE" w:rsidP="003077A2">
      <w:pPr>
        <w:pStyle w:val="Delibera"/>
        <w:tabs>
          <w:tab w:val="left" w:pos="708"/>
        </w:tabs>
        <w:spacing w:line="240" w:lineRule="auto"/>
        <w:rPr>
          <w:rFonts w:asciiTheme="minorHAnsi" w:hAnsiTheme="minorHAnsi"/>
          <w:bCs/>
          <w:i/>
          <w:iCs/>
          <w:sz w:val="20"/>
          <w:lang w:eastAsia="en-US"/>
        </w:rPr>
      </w:pPr>
    </w:p>
    <w:p w:rsidR="006221EE" w:rsidRDefault="006221EE" w:rsidP="006221EE">
      <w:pPr>
        <w:pStyle w:val="Delibera"/>
        <w:tabs>
          <w:tab w:val="left" w:pos="708"/>
        </w:tabs>
        <w:spacing w:line="240" w:lineRule="auto"/>
        <w:rPr>
          <w:rFonts w:asciiTheme="minorHAnsi" w:hAnsiTheme="minorHAnsi"/>
          <w:bCs/>
          <w:i/>
          <w:iCs/>
          <w:szCs w:val="24"/>
          <w:lang w:eastAsia="en-US"/>
        </w:rPr>
      </w:pPr>
    </w:p>
    <w:p w:rsidR="004320DE" w:rsidRPr="003077A2" w:rsidRDefault="004320DE" w:rsidP="003077A2">
      <w:pPr>
        <w:pStyle w:val="Delibera"/>
        <w:tabs>
          <w:tab w:val="left" w:pos="708"/>
        </w:tabs>
        <w:spacing w:line="240" w:lineRule="auto"/>
        <w:ind w:hanging="142"/>
        <w:rPr>
          <w:b/>
          <w:bCs/>
          <w:iCs/>
          <w:szCs w:val="24"/>
          <w:lang w:eastAsia="en-US"/>
        </w:rPr>
      </w:pPr>
      <w:r w:rsidRPr="003077A2">
        <w:rPr>
          <w:b/>
          <w:bCs/>
          <w:iCs/>
          <w:szCs w:val="24"/>
          <w:lang w:eastAsia="en-US"/>
        </w:rPr>
        <w:t xml:space="preserve">Calcolo dell’avanzo primario </w:t>
      </w:r>
    </w:p>
    <w:p w:rsidR="006221EE" w:rsidRPr="000174EB" w:rsidRDefault="006221EE" w:rsidP="006221EE">
      <w:pPr>
        <w:ind w:right="-1"/>
        <w:rPr>
          <w:rFonts w:ascii="Times New Roman" w:hAnsi="Times New Roman"/>
          <w:szCs w:val="24"/>
        </w:rPr>
      </w:pPr>
    </w:p>
    <w:tbl>
      <w:tblPr>
        <w:tblW w:w="822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01"/>
        <w:gridCol w:w="1701"/>
        <w:gridCol w:w="1701"/>
      </w:tblGrid>
      <w:tr w:rsidR="006221EE" w:rsidRPr="000174EB" w:rsidTr="00C5362A">
        <w:tc>
          <w:tcPr>
            <w:tcW w:w="3119" w:type="dxa"/>
            <w:tcBorders>
              <w:top w:val="single" w:sz="4" w:space="0" w:color="auto"/>
              <w:left w:val="single" w:sz="4" w:space="0" w:color="auto"/>
              <w:bottom w:val="single" w:sz="4" w:space="0" w:color="auto"/>
              <w:right w:val="single" w:sz="4" w:space="0" w:color="auto"/>
            </w:tcBorders>
            <w:vAlign w:val="center"/>
          </w:tcPr>
          <w:p w:rsidR="006221EE" w:rsidRPr="000174EB" w:rsidRDefault="006221EE" w:rsidP="00D37532">
            <w:pPr>
              <w:jc w:val="right"/>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E42701" w:rsidRDefault="006221EE" w:rsidP="00D37532">
            <w:pPr>
              <w:jc w:val="center"/>
              <w:rPr>
                <w:rFonts w:ascii="Times New Roman" w:hAnsi="Times New Roman"/>
                <w:szCs w:val="22"/>
                <w:lang w:eastAsia="en-US"/>
              </w:rPr>
            </w:pPr>
            <w:r w:rsidRPr="00E42701">
              <w:rPr>
                <w:rFonts w:ascii="Times New Roman" w:hAnsi="Times New Roman"/>
                <w:sz w:val="22"/>
                <w:szCs w:val="22"/>
                <w:lang w:eastAsia="en-US"/>
              </w:rPr>
              <w:t>DPP 20</w:t>
            </w:r>
            <w:r w:rsidR="000174EB" w:rsidRPr="00E42701">
              <w:rPr>
                <w:rFonts w:ascii="Times New Roman" w:hAnsi="Times New Roman"/>
                <w:sz w:val="22"/>
                <w:szCs w:val="22"/>
                <w:lang w:eastAsia="en-US"/>
              </w:rPr>
              <w:t>2</w:t>
            </w:r>
            <w:r w:rsidR="00D952AD" w:rsidRPr="00E42701">
              <w:rPr>
                <w:rFonts w:ascii="Times New Roman" w:hAnsi="Times New Roman"/>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0174EB" w:rsidRDefault="006221EE" w:rsidP="00D37532">
            <w:pPr>
              <w:jc w:val="center"/>
              <w:rPr>
                <w:rFonts w:ascii="Times New Roman" w:hAnsi="Times New Roman"/>
                <w:i/>
                <w:szCs w:val="22"/>
                <w:lang w:eastAsia="en-US"/>
              </w:rPr>
            </w:pPr>
            <w:r w:rsidRPr="000174EB">
              <w:rPr>
                <w:rFonts w:ascii="Times New Roman" w:hAnsi="Times New Roman"/>
                <w:i/>
                <w:sz w:val="22"/>
                <w:szCs w:val="22"/>
                <w:lang w:eastAsia="en-US"/>
              </w:rPr>
              <w:t>DPP 20</w:t>
            </w:r>
            <w:r w:rsidR="00F13554">
              <w:rPr>
                <w:rFonts w:ascii="Times New Roman" w:hAnsi="Times New Roman"/>
                <w:i/>
                <w:sz w:val="22"/>
                <w:szCs w:val="22"/>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0174EB" w:rsidRDefault="006221EE" w:rsidP="00D37532">
            <w:pPr>
              <w:jc w:val="center"/>
              <w:rPr>
                <w:rFonts w:ascii="Times New Roman" w:hAnsi="Times New Roman"/>
                <w:i/>
                <w:szCs w:val="22"/>
                <w:lang w:eastAsia="en-US"/>
              </w:rPr>
            </w:pPr>
            <w:r w:rsidRPr="000174EB">
              <w:rPr>
                <w:rFonts w:ascii="Times New Roman" w:hAnsi="Times New Roman"/>
                <w:i/>
                <w:sz w:val="22"/>
                <w:szCs w:val="22"/>
                <w:lang w:eastAsia="en-US"/>
              </w:rPr>
              <w:t>Consuntivo 201</w:t>
            </w:r>
            <w:r w:rsidR="00F13554">
              <w:rPr>
                <w:rFonts w:ascii="Times New Roman" w:hAnsi="Times New Roman"/>
                <w:i/>
                <w:sz w:val="22"/>
                <w:szCs w:val="22"/>
                <w:lang w:eastAsia="en-US"/>
              </w:rPr>
              <w:t>9</w:t>
            </w:r>
          </w:p>
        </w:tc>
      </w:tr>
      <w:tr w:rsidR="00F13554" w:rsidRPr="000B32A1" w:rsidTr="00C5362A">
        <w:tc>
          <w:tcPr>
            <w:tcW w:w="3119" w:type="dxa"/>
            <w:tcBorders>
              <w:top w:val="single" w:sz="4" w:space="0" w:color="auto"/>
              <w:left w:val="single" w:sz="4" w:space="0" w:color="auto"/>
              <w:bottom w:val="single" w:sz="4" w:space="0" w:color="auto"/>
              <w:right w:val="single" w:sz="4" w:space="0" w:color="auto"/>
            </w:tcBorders>
            <w:vAlign w:val="center"/>
          </w:tcPr>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Proventi totali</w:t>
            </w:r>
          </w:p>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(compresi proventi straordinari)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7E6FDF" w:rsidP="00F13554">
            <w:pPr>
              <w:jc w:val="right"/>
              <w:rPr>
                <w:rFonts w:ascii="Times New Roman" w:hAnsi="Times New Roman"/>
                <w:sz w:val="22"/>
                <w:szCs w:val="22"/>
                <w:lang w:eastAsia="en-US"/>
              </w:rPr>
            </w:pPr>
            <w:r>
              <w:rPr>
                <w:rFonts w:ascii="Times New Roman" w:hAnsi="Times New Roman"/>
                <w:bCs/>
                <w:sz w:val="22"/>
                <w:szCs w:val="22"/>
                <w:lang w:eastAsia="en-US"/>
              </w:rPr>
              <w:t>1.</w:t>
            </w:r>
            <w:r w:rsidR="00B97E55">
              <w:rPr>
                <w:rFonts w:ascii="Times New Roman" w:hAnsi="Times New Roman"/>
                <w:bCs/>
                <w:sz w:val="22"/>
                <w:szCs w:val="22"/>
                <w:lang w:eastAsia="en-US"/>
              </w:rPr>
              <w:t>627</w:t>
            </w:r>
            <w:r>
              <w:rPr>
                <w:rFonts w:ascii="Times New Roman" w:hAnsi="Times New Roman"/>
                <w:bCs/>
                <w:sz w:val="22"/>
                <w:szCs w:val="22"/>
                <w:lang w:eastAsia="en-US"/>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sz w:val="22"/>
                <w:szCs w:val="22"/>
                <w:lang w:eastAsia="en-US"/>
              </w:rPr>
            </w:pPr>
            <w:r w:rsidRPr="000B32A1">
              <w:rPr>
                <w:rFonts w:ascii="Times New Roman" w:hAnsi="Times New Roman"/>
                <w:bCs/>
                <w:sz w:val="22"/>
                <w:szCs w:val="22"/>
                <w:lang w:eastAsia="en-US"/>
              </w:rPr>
              <w:t>1.539.500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i/>
                <w:color w:val="000000"/>
                <w:sz w:val="22"/>
                <w:szCs w:val="22"/>
              </w:rPr>
            </w:pPr>
          </w:p>
          <w:p w:rsidR="00F13554" w:rsidRPr="000B32A1" w:rsidRDefault="00F13554" w:rsidP="00F13554">
            <w:pPr>
              <w:jc w:val="right"/>
              <w:rPr>
                <w:rFonts w:ascii="Times New Roman" w:hAnsi="Times New Roman"/>
                <w:i/>
                <w:color w:val="000000"/>
                <w:sz w:val="22"/>
                <w:szCs w:val="22"/>
              </w:rPr>
            </w:pPr>
          </w:p>
          <w:p w:rsidR="000B32A1" w:rsidRPr="000B32A1" w:rsidRDefault="000B32A1" w:rsidP="000B32A1">
            <w:pPr>
              <w:jc w:val="right"/>
              <w:rPr>
                <w:rFonts w:ascii="Times New Roman" w:hAnsi="Times New Roman"/>
                <w:i/>
                <w:color w:val="000000"/>
                <w:sz w:val="22"/>
                <w:szCs w:val="22"/>
              </w:rPr>
            </w:pPr>
            <w:r w:rsidRPr="000B32A1">
              <w:rPr>
                <w:rFonts w:ascii="Times New Roman" w:hAnsi="Times New Roman"/>
                <w:i/>
                <w:color w:val="000000"/>
                <w:sz w:val="22"/>
                <w:szCs w:val="22"/>
              </w:rPr>
              <w:t>4.057.447</w:t>
            </w:r>
          </w:p>
          <w:p w:rsidR="00F13554" w:rsidRPr="000B32A1" w:rsidRDefault="00F13554" w:rsidP="00F13554">
            <w:pPr>
              <w:jc w:val="right"/>
              <w:rPr>
                <w:rFonts w:ascii="Times New Roman" w:hAnsi="Times New Roman"/>
                <w:i/>
                <w:color w:val="000000"/>
                <w:sz w:val="22"/>
                <w:szCs w:val="22"/>
              </w:rPr>
            </w:pPr>
          </w:p>
          <w:p w:rsidR="00F13554" w:rsidRPr="000B32A1" w:rsidRDefault="00F13554" w:rsidP="00F13554">
            <w:pPr>
              <w:jc w:val="right"/>
              <w:rPr>
                <w:rFonts w:ascii="Times New Roman" w:hAnsi="Times New Roman"/>
                <w:i/>
                <w:sz w:val="22"/>
                <w:szCs w:val="22"/>
                <w:lang w:eastAsia="en-US"/>
              </w:rPr>
            </w:pPr>
          </w:p>
        </w:tc>
      </w:tr>
      <w:tr w:rsidR="00F13554" w:rsidRPr="000B32A1" w:rsidTr="00C5362A">
        <w:tc>
          <w:tcPr>
            <w:tcW w:w="3119" w:type="dxa"/>
            <w:tcBorders>
              <w:top w:val="single" w:sz="4" w:space="0" w:color="auto"/>
              <w:left w:val="single" w:sz="4" w:space="0" w:color="auto"/>
              <w:bottom w:val="single" w:sz="4" w:space="0" w:color="auto"/>
              <w:right w:val="single" w:sz="4" w:space="0" w:color="auto"/>
            </w:tcBorders>
            <w:vAlign w:val="center"/>
          </w:tcPr>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 xml:space="preserve">Oneri di gestione </w:t>
            </w:r>
          </w:p>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(compresi oneri straordinari</w:t>
            </w:r>
            <w:r w:rsidR="000B32A1" w:rsidRPr="000B32A1">
              <w:rPr>
                <w:rFonts w:ascii="Times New Roman" w:hAnsi="Times New Roman"/>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sz w:val="22"/>
                <w:szCs w:val="22"/>
                <w:lang w:eastAsia="en-US"/>
              </w:rPr>
            </w:pPr>
            <w:r w:rsidRPr="000B32A1">
              <w:rPr>
                <w:rFonts w:ascii="Times New Roman" w:hAnsi="Times New Roman"/>
                <w:bCs/>
                <w:iCs/>
                <w:sz w:val="22"/>
                <w:szCs w:val="22"/>
                <w:lang w:eastAsia="en-US"/>
              </w:rPr>
              <w:t>(550.000)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sz w:val="22"/>
                <w:szCs w:val="22"/>
                <w:lang w:eastAsia="en-US"/>
              </w:rPr>
            </w:pPr>
            <w:r w:rsidRPr="000B32A1">
              <w:rPr>
                <w:rFonts w:ascii="Times New Roman" w:hAnsi="Times New Roman"/>
                <w:bCs/>
                <w:iCs/>
                <w:sz w:val="22"/>
                <w:szCs w:val="22"/>
                <w:lang w:eastAsia="en-US"/>
              </w:rPr>
              <w:t>(509.500)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0B32A1" w:rsidP="00F13554">
            <w:pPr>
              <w:jc w:val="right"/>
              <w:rPr>
                <w:rFonts w:ascii="Times New Roman" w:hAnsi="Times New Roman"/>
                <w:i/>
                <w:sz w:val="22"/>
                <w:szCs w:val="22"/>
                <w:lang w:eastAsia="en-US"/>
              </w:rPr>
            </w:pPr>
            <w:r w:rsidRPr="000B32A1">
              <w:rPr>
                <w:rFonts w:ascii="Times New Roman" w:hAnsi="Times New Roman"/>
                <w:i/>
                <w:sz w:val="22"/>
                <w:szCs w:val="22"/>
                <w:lang w:eastAsia="en-US"/>
              </w:rPr>
              <w:t>(</w:t>
            </w:r>
            <w:r w:rsidR="009D103E">
              <w:rPr>
                <w:rFonts w:ascii="Times New Roman" w:hAnsi="Times New Roman"/>
                <w:i/>
                <w:sz w:val="22"/>
                <w:szCs w:val="22"/>
                <w:lang w:eastAsia="en-US"/>
              </w:rPr>
              <w:t>707.282</w:t>
            </w:r>
            <w:r w:rsidRPr="000B32A1">
              <w:rPr>
                <w:rFonts w:ascii="Times New Roman" w:hAnsi="Times New Roman"/>
                <w:i/>
                <w:sz w:val="22"/>
                <w:szCs w:val="22"/>
                <w:lang w:eastAsia="en-US"/>
              </w:rPr>
              <w:t>)</w:t>
            </w:r>
          </w:p>
        </w:tc>
      </w:tr>
      <w:tr w:rsidR="00F13554" w:rsidRPr="000B32A1" w:rsidTr="00C5362A">
        <w:tc>
          <w:tcPr>
            <w:tcW w:w="3119" w:type="dxa"/>
            <w:tcBorders>
              <w:top w:val="single" w:sz="4" w:space="0" w:color="auto"/>
              <w:left w:val="single" w:sz="4" w:space="0" w:color="auto"/>
              <w:bottom w:val="single" w:sz="4" w:space="0" w:color="auto"/>
              <w:right w:val="single" w:sz="4" w:space="0" w:color="auto"/>
            </w:tcBorders>
            <w:vAlign w:val="center"/>
          </w:tcPr>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Imposte e tasse</w:t>
            </w:r>
          </w:p>
          <w:p w:rsidR="00F13554" w:rsidRPr="000B32A1" w:rsidRDefault="00F13554" w:rsidP="00F13554">
            <w:pPr>
              <w:jc w:val="center"/>
              <w:rPr>
                <w:rFonts w:ascii="Times New Roman"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sz w:val="22"/>
                <w:szCs w:val="22"/>
                <w:lang w:eastAsia="en-US"/>
              </w:rPr>
            </w:pPr>
            <w:r w:rsidRPr="000B32A1">
              <w:rPr>
                <w:rFonts w:ascii="Times New Roman" w:hAnsi="Times New Roman"/>
                <w:bCs/>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F13554" w:rsidP="00F13554">
            <w:pPr>
              <w:jc w:val="right"/>
              <w:rPr>
                <w:rFonts w:ascii="Times New Roman" w:hAnsi="Times New Roman"/>
                <w:sz w:val="22"/>
                <w:szCs w:val="22"/>
                <w:lang w:eastAsia="en-US"/>
              </w:rPr>
            </w:pPr>
            <w:r w:rsidRPr="000B32A1">
              <w:rPr>
                <w:rFonts w:ascii="Times New Roman" w:hAnsi="Times New Roman"/>
                <w:bCs/>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0B32A1" w:rsidRDefault="000B32A1" w:rsidP="00F13554">
            <w:pPr>
              <w:jc w:val="right"/>
              <w:rPr>
                <w:rFonts w:ascii="Times New Roman" w:hAnsi="Times New Roman"/>
                <w:i/>
                <w:sz w:val="22"/>
                <w:szCs w:val="22"/>
                <w:lang w:eastAsia="en-US"/>
              </w:rPr>
            </w:pPr>
            <w:r w:rsidRPr="000B32A1">
              <w:rPr>
                <w:rFonts w:ascii="Times New Roman" w:hAnsi="Times New Roman"/>
                <w:bCs/>
                <w:i/>
                <w:color w:val="000000"/>
                <w:sz w:val="22"/>
                <w:szCs w:val="22"/>
              </w:rPr>
              <w:t>(519.192)</w:t>
            </w:r>
          </w:p>
        </w:tc>
      </w:tr>
      <w:tr w:rsidR="00F13554" w:rsidRPr="000B32A1" w:rsidTr="00C5362A">
        <w:tc>
          <w:tcPr>
            <w:tcW w:w="3119" w:type="dxa"/>
            <w:tcBorders>
              <w:top w:val="single" w:sz="4" w:space="0" w:color="auto"/>
              <w:left w:val="single" w:sz="4" w:space="0" w:color="auto"/>
              <w:bottom w:val="single" w:sz="4" w:space="0" w:color="auto"/>
              <w:right w:val="single" w:sz="4" w:space="0" w:color="auto"/>
            </w:tcBorders>
            <w:vAlign w:val="center"/>
          </w:tcPr>
          <w:p w:rsidR="00F13554" w:rsidRPr="000B32A1" w:rsidRDefault="00F13554" w:rsidP="00F13554">
            <w:pPr>
              <w:jc w:val="center"/>
              <w:rPr>
                <w:rFonts w:ascii="Times New Roman" w:hAnsi="Times New Roman"/>
                <w:sz w:val="22"/>
                <w:szCs w:val="22"/>
                <w:lang w:eastAsia="en-US"/>
              </w:rPr>
            </w:pPr>
            <w:r w:rsidRPr="000B32A1">
              <w:rPr>
                <w:rFonts w:ascii="Times New Roman" w:hAnsi="Times New Roman"/>
                <w:sz w:val="22"/>
                <w:szCs w:val="22"/>
                <w:lang w:eastAsia="en-US"/>
              </w:rPr>
              <w:t>AVANZO/ DISAVANZO PRIMARIO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832CDC" w:rsidRDefault="00B97E55" w:rsidP="00F13554">
            <w:pPr>
              <w:jc w:val="right"/>
              <w:rPr>
                <w:rFonts w:ascii="Times New Roman" w:hAnsi="Times New Roman"/>
                <w:b/>
                <w:sz w:val="22"/>
                <w:szCs w:val="22"/>
                <w:lang w:eastAsia="en-US"/>
              </w:rPr>
            </w:pPr>
            <w:r>
              <w:rPr>
                <w:rFonts w:ascii="Times New Roman" w:hAnsi="Times New Roman"/>
                <w:b/>
                <w:sz w:val="22"/>
                <w:szCs w:val="22"/>
                <w:lang w:eastAsia="en-US"/>
              </w:rPr>
              <w:t>867.500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E42701" w:rsidRDefault="00F13554" w:rsidP="00F13554">
            <w:pPr>
              <w:jc w:val="right"/>
              <w:rPr>
                <w:rFonts w:ascii="Times New Roman" w:hAnsi="Times New Roman"/>
                <w:sz w:val="22"/>
                <w:szCs w:val="22"/>
                <w:lang w:eastAsia="en-US"/>
              </w:rPr>
            </w:pPr>
            <w:r w:rsidRPr="00E42701">
              <w:rPr>
                <w:rFonts w:ascii="Times New Roman" w:hAnsi="Times New Roman"/>
                <w:sz w:val="22"/>
                <w:szCs w:val="22"/>
                <w:lang w:eastAsia="en-US"/>
              </w:rPr>
              <w:t>820.000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554" w:rsidRPr="00E42701" w:rsidRDefault="000B32A1" w:rsidP="00F13554">
            <w:pPr>
              <w:jc w:val="right"/>
              <w:rPr>
                <w:rFonts w:ascii="Times New Roman" w:eastAsia="Calibri" w:hAnsi="Times New Roman"/>
                <w:i/>
                <w:sz w:val="22"/>
                <w:szCs w:val="22"/>
                <w:lang w:eastAsia="en-US"/>
              </w:rPr>
            </w:pPr>
            <w:r w:rsidRPr="00E42701">
              <w:rPr>
                <w:rFonts w:ascii="Times New Roman" w:eastAsia="Calibri" w:hAnsi="Times New Roman"/>
                <w:i/>
                <w:sz w:val="22"/>
                <w:szCs w:val="22"/>
                <w:lang w:eastAsia="en-US"/>
              </w:rPr>
              <w:t>2.830.973</w:t>
            </w:r>
          </w:p>
        </w:tc>
      </w:tr>
    </w:tbl>
    <w:p w:rsidR="000174EB" w:rsidRPr="000B32A1" w:rsidRDefault="000174EB" w:rsidP="006221EE">
      <w:pPr>
        <w:pStyle w:val="Delibera"/>
        <w:ind w:right="-1"/>
        <w:rPr>
          <w:bCs/>
          <w:i/>
          <w:szCs w:val="24"/>
        </w:rPr>
      </w:pPr>
    </w:p>
    <w:p w:rsidR="003077A2" w:rsidRDefault="003077A2" w:rsidP="006221EE">
      <w:pPr>
        <w:pStyle w:val="Delibera"/>
        <w:ind w:right="-1"/>
        <w:rPr>
          <w:bCs/>
          <w:i/>
          <w:szCs w:val="24"/>
        </w:rPr>
      </w:pPr>
    </w:p>
    <w:p w:rsidR="009D103E" w:rsidRDefault="009D103E" w:rsidP="006221EE">
      <w:pPr>
        <w:pStyle w:val="Delibera"/>
        <w:ind w:right="-1"/>
        <w:rPr>
          <w:bCs/>
          <w:i/>
          <w:szCs w:val="24"/>
        </w:rPr>
      </w:pPr>
    </w:p>
    <w:p w:rsidR="00D704BA" w:rsidRDefault="00D704BA" w:rsidP="006221EE">
      <w:pPr>
        <w:pStyle w:val="Delibera"/>
        <w:ind w:right="-1"/>
        <w:rPr>
          <w:bCs/>
          <w:i/>
          <w:szCs w:val="24"/>
        </w:rPr>
      </w:pPr>
    </w:p>
    <w:p w:rsidR="0066346B" w:rsidRDefault="0066346B" w:rsidP="006221EE">
      <w:pPr>
        <w:pStyle w:val="Delibera"/>
        <w:ind w:right="-1"/>
        <w:rPr>
          <w:bCs/>
          <w:i/>
          <w:szCs w:val="24"/>
        </w:rPr>
      </w:pPr>
    </w:p>
    <w:p w:rsidR="0066346B" w:rsidRPr="000B32A1" w:rsidRDefault="0066346B" w:rsidP="006221EE">
      <w:pPr>
        <w:pStyle w:val="Delibera"/>
        <w:ind w:right="-1"/>
        <w:rPr>
          <w:bCs/>
          <w:i/>
          <w:szCs w:val="24"/>
        </w:rPr>
      </w:pPr>
    </w:p>
    <w:p w:rsidR="006221EE" w:rsidRPr="000B32A1" w:rsidRDefault="006221EE" w:rsidP="006221EE">
      <w:pPr>
        <w:pStyle w:val="Delibera"/>
        <w:ind w:right="-1"/>
        <w:rPr>
          <w:b/>
          <w:iCs/>
          <w:caps/>
          <w:szCs w:val="24"/>
          <w:u w:val="single"/>
        </w:rPr>
      </w:pPr>
      <w:r w:rsidRPr="000B32A1">
        <w:rPr>
          <w:b/>
          <w:iCs/>
          <w:caps/>
          <w:szCs w:val="24"/>
          <w:u w:val="single"/>
        </w:rPr>
        <w:lastRenderedPageBreak/>
        <w:t xml:space="preserve">Accantonamenti </w:t>
      </w:r>
    </w:p>
    <w:p w:rsidR="006221EE" w:rsidRPr="00C5362A" w:rsidRDefault="006221EE" w:rsidP="0066346B">
      <w:pPr>
        <w:rPr>
          <w:rFonts w:ascii="Times New Roman" w:hAnsi="Times New Roman"/>
          <w:szCs w:val="24"/>
        </w:rPr>
      </w:pPr>
      <w:r w:rsidRPr="000965DA">
        <w:rPr>
          <w:rFonts w:ascii="Times New Roman" w:hAnsi="Times New Roman"/>
          <w:szCs w:val="24"/>
        </w:rPr>
        <w:t xml:space="preserve">Per il calcolo degli accantonamenti di legge tenuto conto di quanto stabilito dai precedenti decreti </w:t>
      </w:r>
      <w:proofErr w:type="gramStart"/>
      <w:r w:rsidRPr="000965DA">
        <w:rPr>
          <w:rFonts w:ascii="Times New Roman" w:hAnsi="Times New Roman"/>
          <w:szCs w:val="24"/>
        </w:rPr>
        <w:t>del  Direttore</w:t>
      </w:r>
      <w:proofErr w:type="gramEnd"/>
      <w:r w:rsidRPr="000965DA">
        <w:rPr>
          <w:rFonts w:ascii="Times New Roman" w:hAnsi="Times New Roman"/>
          <w:szCs w:val="24"/>
        </w:rPr>
        <w:t xml:space="preserve"> Generale del Dipartimento del Tesoro in materia  di accantonamenti </w:t>
      </w:r>
      <w:r w:rsidRPr="00C5362A">
        <w:rPr>
          <w:rFonts w:ascii="Times New Roman" w:hAnsi="Times New Roman"/>
          <w:szCs w:val="24"/>
        </w:rPr>
        <w:t>patrimoniali e alla copertura dei disavanzi pregressi, risulta:</w:t>
      </w:r>
    </w:p>
    <w:p w:rsidR="002B5E40" w:rsidRPr="00832CDC" w:rsidRDefault="007726AA" w:rsidP="0066346B">
      <w:pPr>
        <w:pStyle w:val="Paragrafoelenco"/>
        <w:numPr>
          <w:ilvl w:val="0"/>
          <w:numId w:val="34"/>
        </w:numPr>
        <w:spacing w:line="240" w:lineRule="auto"/>
        <w:ind w:left="284" w:hanging="284"/>
        <w:jc w:val="both"/>
        <w:rPr>
          <w:rFonts w:ascii="Times New Roman" w:hAnsi="Times New Roman"/>
          <w:sz w:val="24"/>
          <w:szCs w:val="24"/>
        </w:rPr>
      </w:pPr>
      <w:proofErr w:type="gramStart"/>
      <w:r w:rsidRPr="00832CDC">
        <w:rPr>
          <w:rFonts w:ascii="Times New Roman" w:hAnsi="Times New Roman"/>
          <w:b/>
          <w:sz w:val="24"/>
          <w:szCs w:val="24"/>
        </w:rPr>
        <w:t xml:space="preserve">€ </w:t>
      </w:r>
      <w:r w:rsidR="00832CDC">
        <w:rPr>
          <w:rFonts w:ascii="Times New Roman" w:hAnsi="Times New Roman"/>
          <w:b/>
          <w:sz w:val="24"/>
          <w:szCs w:val="24"/>
        </w:rPr>
        <w:t xml:space="preserve"> </w:t>
      </w:r>
      <w:r w:rsidR="00B97E55">
        <w:rPr>
          <w:rFonts w:ascii="Times New Roman" w:hAnsi="Times New Roman"/>
          <w:b/>
          <w:sz w:val="24"/>
          <w:szCs w:val="24"/>
        </w:rPr>
        <w:t>216.875</w:t>
      </w:r>
      <w:proofErr w:type="gramEnd"/>
      <w:r w:rsidR="007E6FDF">
        <w:rPr>
          <w:rFonts w:ascii="Times New Roman" w:hAnsi="Times New Roman"/>
          <w:b/>
          <w:sz w:val="24"/>
          <w:szCs w:val="24"/>
        </w:rPr>
        <w:t xml:space="preserve"> </w:t>
      </w:r>
      <w:r w:rsidRPr="00832CDC">
        <w:rPr>
          <w:rFonts w:ascii="Times New Roman" w:eastAsiaTheme="minorHAnsi" w:hAnsi="Times New Roman"/>
          <w:sz w:val="24"/>
          <w:szCs w:val="24"/>
        </w:rPr>
        <w:t xml:space="preserve"> </w:t>
      </w:r>
      <w:r w:rsidR="002B5E40" w:rsidRPr="00832CDC">
        <w:rPr>
          <w:rFonts w:ascii="Times New Roman" w:hAnsi="Times New Roman"/>
          <w:sz w:val="24"/>
          <w:szCs w:val="24"/>
        </w:rPr>
        <w:t>alla copertura di disavanzi pregressi</w:t>
      </w:r>
      <w:r w:rsidR="00832CDC">
        <w:rPr>
          <w:rFonts w:ascii="Times New Roman" w:hAnsi="Times New Roman"/>
          <w:sz w:val="24"/>
          <w:szCs w:val="24"/>
        </w:rPr>
        <w:t xml:space="preserve"> pari </w:t>
      </w:r>
      <w:r w:rsidR="00832CDC" w:rsidRPr="00832CDC">
        <w:rPr>
          <w:rFonts w:ascii="Times New Roman" w:hAnsi="Times New Roman"/>
          <w:sz w:val="24"/>
          <w:szCs w:val="24"/>
        </w:rPr>
        <w:t xml:space="preserve"> al 2</w:t>
      </w:r>
      <w:r w:rsidR="00832CDC">
        <w:rPr>
          <w:rFonts w:ascii="Times New Roman" w:hAnsi="Times New Roman"/>
          <w:sz w:val="24"/>
          <w:szCs w:val="24"/>
        </w:rPr>
        <w:t>5</w:t>
      </w:r>
      <w:r w:rsidR="00832CDC" w:rsidRPr="00832CDC">
        <w:rPr>
          <w:rFonts w:ascii="Times New Roman" w:hAnsi="Times New Roman"/>
          <w:sz w:val="24"/>
          <w:szCs w:val="24"/>
        </w:rPr>
        <w:t>% dell’avanzo primario di gestione</w:t>
      </w:r>
      <w:r w:rsidR="00832CDC">
        <w:rPr>
          <w:rFonts w:ascii="Times New Roman" w:hAnsi="Times New Roman"/>
          <w:sz w:val="24"/>
          <w:szCs w:val="24"/>
        </w:rPr>
        <w:t>;</w:t>
      </w:r>
    </w:p>
    <w:p w:rsidR="006221EE" w:rsidRPr="00832CDC" w:rsidRDefault="007726AA" w:rsidP="0066346B">
      <w:pPr>
        <w:pStyle w:val="Paragrafoelenco"/>
        <w:numPr>
          <w:ilvl w:val="0"/>
          <w:numId w:val="34"/>
        </w:numPr>
        <w:spacing w:line="240" w:lineRule="auto"/>
        <w:ind w:left="284" w:hanging="284"/>
        <w:jc w:val="both"/>
        <w:rPr>
          <w:rFonts w:ascii="Times New Roman" w:hAnsi="Times New Roman"/>
          <w:sz w:val="24"/>
          <w:szCs w:val="24"/>
        </w:rPr>
      </w:pPr>
      <w:r w:rsidRPr="00832CDC">
        <w:rPr>
          <w:rFonts w:ascii="Times New Roman" w:hAnsi="Times New Roman"/>
          <w:b/>
          <w:sz w:val="24"/>
          <w:szCs w:val="24"/>
        </w:rPr>
        <w:t xml:space="preserve">€ </w:t>
      </w:r>
      <w:proofErr w:type="gramStart"/>
      <w:r w:rsidR="00B97E55">
        <w:rPr>
          <w:rFonts w:ascii="Times New Roman" w:eastAsiaTheme="minorHAnsi" w:hAnsi="Times New Roman"/>
          <w:b/>
          <w:sz w:val="24"/>
          <w:szCs w:val="24"/>
        </w:rPr>
        <w:t>130.125</w:t>
      </w:r>
      <w:r w:rsidRPr="00832CDC">
        <w:rPr>
          <w:rFonts w:ascii="Times New Roman" w:eastAsiaTheme="minorHAnsi" w:hAnsi="Times New Roman"/>
          <w:sz w:val="24"/>
          <w:szCs w:val="24"/>
        </w:rPr>
        <w:t xml:space="preserve"> </w:t>
      </w:r>
      <w:r w:rsidR="00832CDC">
        <w:rPr>
          <w:rFonts w:ascii="Times New Roman" w:eastAsiaTheme="minorHAnsi" w:hAnsi="Times New Roman"/>
          <w:sz w:val="24"/>
          <w:szCs w:val="24"/>
        </w:rPr>
        <w:t xml:space="preserve"> </w:t>
      </w:r>
      <w:r w:rsidR="006221EE" w:rsidRPr="00832CDC">
        <w:rPr>
          <w:rFonts w:ascii="Times New Roman" w:hAnsi="Times New Roman"/>
          <w:sz w:val="24"/>
          <w:szCs w:val="24"/>
        </w:rPr>
        <w:t>alla</w:t>
      </w:r>
      <w:proofErr w:type="gramEnd"/>
      <w:r w:rsidR="006221EE" w:rsidRPr="00832CDC">
        <w:rPr>
          <w:rFonts w:ascii="Times New Roman" w:hAnsi="Times New Roman"/>
          <w:sz w:val="24"/>
          <w:szCs w:val="24"/>
        </w:rPr>
        <w:t xml:space="preserve"> riserva ob</w:t>
      </w:r>
      <w:r w:rsidRPr="00832CDC">
        <w:rPr>
          <w:rFonts w:ascii="Times New Roman" w:hAnsi="Times New Roman"/>
          <w:sz w:val="24"/>
          <w:szCs w:val="24"/>
        </w:rPr>
        <w:t xml:space="preserve">bligatoria pari al </w:t>
      </w:r>
      <w:r w:rsidR="006221EE" w:rsidRPr="00832CDC">
        <w:rPr>
          <w:rFonts w:ascii="Times New Roman" w:hAnsi="Times New Roman"/>
          <w:sz w:val="24"/>
          <w:szCs w:val="24"/>
        </w:rPr>
        <w:t>20% dell’avanzo primario di gestione</w:t>
      </w:r>
      <w:r w:rsidR="002B5E40" w:rsidRPr="00832CDC">
        <w:rPr>
          <w:rFonts w:ascii="Times New Roman" w:hAnsi="Times New Roman"/>
          <w:sz w:val="24"/>
          <w:szCs w:val="24"/>
        </w:rPr>
        <w:t xml:space="preserve"> al netto della precedente accantonamento</w:t>
      </w:r>
      <w:r w:rsidR="006221EE" w:rsidRPr="00832CDC">
        <w:rPr>
          <w:rFonts w:ascii="Times New Roman" w:hAnsi="Times New Roman"/>
          <w:sz w:val="24"/>
          <w:szCs w:val="24"/>
        </w:rPr>
        <w:t xml:space="preserve">; </w:t>
      </w:r>
    </w:p>
    <w:p w:rsidR="006221EE" w:rsidRPr="000965DA" w:rsidRDefault="007726AA" w:rsidP="0066346B">
      <w:pPr>
        <w:pStyle w:val="Paragrafoelenco"/>
        <w:numPr>
          <w:ilvl w:val="0"/>
          <w:numId w:val="34"/>
        </w:numPr>
        <w:spacing w:line="240" w:lineRule="auto"/>
        <w:ind w:left="284" w:hanging="284"/>
        <w:jc w:val="both"/>
        <w:rPr>
          <w:rFonts w:ascii="Times New Roman" w:hAnsi="Times New Roman"/>
          <w:sz w:val="24"/>
          <w:szCs w:val="24"/>
        </w:rPr>
      </w:pPr>
      <w:r w:rsidRPr="00832CDC">
        <w:rPr>
          <w:rFonts w:ascii="Times New Roman" w:hAnsi="Times New Roman"/>
          <w:b/>
          <w:sz w:val="24"/>
          <w:szCs w:val="24"/>
        </w:rPr>
        <w:t xml:space="preserve">€ </w:t>
      </w:r>
      <w:r w:rsidR="00B97E55">
        <w:rPr>
          <w:rFonts w:ascii="Times New Roman" w:eastAsiaTheme="minorHAnsi" w:hAnsi="Times New Roman"/>
          <w:b/>
          <w:sz w:val="24"/>
          <w:szCs w:val="24"/>
        </w:rPr>
        <w:t>17.350</w:t>
      </w:r>
      <w:r w:rsidR="007E6FDF">
        <w:rPr>
          <w:rFonts w:ascii="Times New Roman" w:eastAsiaTheme="minorHAnsi" w:hAnsi="Times New Roman"/>
          <w:b/>
          <w:sz w:val="24"/>
          <w:szCs w:val="24"/>
        </w:rPr>
        <w:t xml:space="preserve"> </w:t>
      </w:r>
      <w:r w:rsidR="006221EE" w:rsidRPr="00832CDC">
        <w:rPr>
          <w:rFonts w:ascii="Times New Roman" w:hAnsi="Times New Roman"/>
          <w:sz w:val="24"/>
          <w:szCs w:val="24"/>
        </w:rPr>
        <w:t>al</w:t>
      </w:r>
      <w:r w:rsidR="005B74FD" w:rsidRPr="00832CDC">
        <w:rPr>
          <w:rFonts w:ascii="Times New Roman" w:hAnsi="Times New Roman"/>
          <w:sz w:val="24"/>
          <w:szCs w:val="24"/>
        </w:rPr>
        <w:t xml:space="preserve"> Fo</w:t>
      </w:r>
      <w:r w:rsidR="00DE2C73" w:rsidRPr="00832CDC">
        <w:rPr>
          <w:rFonts w:ascii="Times New Roman" w:hAnsi="Times New Roman"/>
          <w:sz w:val="24"/>
          <w:szCs w:val="24"/>
        </w:rPr>
        <w:t>ndo Unico Nazionale (</w:t>
      </w:r>
      <w:proofErr w:type="gramStart"/>
      <w:r w:rsidR="00DE2C73" w:rsidRPr="00832CDC">
        <w:rPr>
          <w:rFonts w:ascii="Times New Roman" w:hAnsi="Times New Roman"/>
          <w:sz w:val="24"/>
          <w:szCs w:val="24"/>
        </w:rPr>
        <w:t xml:space="preserve">FUN) </w:t>
      </w:r>
      <w:r w:rsidR="006221EE" w:rsidRPr="00832CDC">
        <w:rPr>
          <w:rFonts w:ascii="Times New Roman" w:hAnsi="Times New Roman"/>
          <w:sz w:val="24"/>
          <w:szCs w:val="24"/>
        </w:rPr>
        <w:t xml:space="preserve"> </w:t>
      </w:r>
      <w:r w:rsidR="00DE2C73" w:rsidRPr="00832CDC">
        <w:rPr>
          <w:rFonts w:ascii="Times New Roman" w:hAnsi="Times New Roman"/>
          <w:sz w:val="24"/>
          <w:szCs w:val="24"/>
        </w:rPr>
        <w:t>ai</w:t>
      </w:r>
      <w:proofErr w:type="gramEnd"/>
      <w:r w:rsidR="00DE2C73" w:rsidRPr="00832CDC">
        <w:rPr>
          <w:rFonts w:ascii="Times New Roman" w:hAnsi="Times New Roman"/>
          <w:sz w:val="24"/>
          <w:szCs w:val="24"/>
        </w:rPr>
        <w:t xml:space="preserve"> sensi </w:t>
      </w:r>
      <w:r w:rsidR="00DE2C73" w:rsidRPr="00832CDC">
        <w:rPr>
          <w:rFonts w:ascii="Times New Roman" w:eastAsiaTheme="minorHAnsi" w:hAnsi="Times New Roman"/>
          <w:sz w:val="24"/>
          <w:szCs w:val="24"/>
        </w:rPr>
        <w:t xml:space="preserve"> </w:t>
      </w:r>
      <w:r w:rsidR="00DE2C73" w:rsidRPr="00832CDC">
        <w:rPr>
          <w:rFonts w:ascii="Times New Roman" w:eastAsiaTheme="minorHAnsi" w:hAnsi="Times New Roman"/>
          <w:bCs/>
          <w:sz w:val="24"/>
          <w:szCs w:val="24"/>
        </w:rPr>
        <w:t xml:space="preserve">dell’articolo </w:t>
      </w:r>
      <w:r w:rsidRPr="00832CDC">
        <w:rPr>
          <w:rFonts w:ascii="Times New Roman" w:eastAsiaTheme="minorHAnsi" w:hAnsi="Times New Roman"/>
          <w:bCs/>
          <w:sz w:val="24"/>
          <w:szCs w:val="24"/>
        </w:rPr>
        <w:t xml:space="preserve">62, comma 3, del D.Lgs. 117/17 pari a </w:t>
      </w:r>
      <w:r w:rsidR="006221EE" w:rsidRPr="00832CDC">
        <w:rPr>
          <w:rFonts w:ascii="Times New Roman" w:hAnsi="Times New Roman"/>
          <w:sz w:val="24"/>
          <w:szCs w:val="24"/>
        </w:rPr>
        <w:t xml:space="preserve">un quindicesimo del risultato della differenza tra l’avanzo di gestione meno l’accantonamento </w:t>
      </w:r>
      <w:r w:rsidR="004C68A1" w:rsidRPr="00832CDC">
        <w:rPr>
          <w:rFonts w:ascii="Times New Roman" w:hAnsi="Times New Roman"/>
          <w:sz w:val="24"/>
          <w:szCs w:val="24"/>
        </w:rPr>
        <w:t xml:space="preserve">prioritario alla copertura di disavanzi pregressi e </w:t>
      </w:r>
      <w:r w:rsidR="006221EE" w:rsidRPr="00832CDC">
        <w:rPr>
          <w:rFonts w:ascii="Times New Roman" w:hAnsi="Times New Roman"/>
          <w:sz w:val="24"/>
          <w:szCs w:val="24"/>
        </w:rPr>
        <w:t xml:space="preserve">alla riserva obbligatoria </w:t>
      </w:r>
      <w:r w:rsidR="00E049C0" w:rsidRPr="00832CDC">
        <w:rPr>
          <w:rFonts w:ascii="Times New Roman" w:hAnsi="Times New Roman"/>
          <w:sz w:val="24"/>
          <w:szCs w:val="24"/>
        </w:rPr>
        <w:t xml:space="preserve">e </w:t>
      </w:r>
      <w:r w:rsidR="006221EE" w:rsidRPr="00832CDC">
        <w:rPr>
          <w:rFonts w:ascii="Times New Roman" w:hAnsi="Times New Roman"/>
          <w:sz w:val="24"/>
          <w:szCs w:val="24"/>
        </w:rPr>
        <w:t xml:space="preserve">l’importo minimo (50%) da destinare ai </w:t>
      </w:r>
      <w:proofErr w:type="gramStart"/>
      <w:r w:rsidR="006221EE" w:rsidRPr="00832CDC">
        <w:rPr>
          <w:rFonts w:ascii="Times New Roman" w:hAnsi="Times New Roman"/>
          <w:sz w:val="24"/>
          <w:szCs w:val="24"/>
        </w:rPr>
        <w:t>settori  rilevanti</w:t>
      </w:r>
      <w:proofErr w:type="gramEnd"/>
      <w:r w:rsidR="006221EE" w:rsidRPr="00832CDC">
        <w:rPr>
          <w:rFonts w:ascii="Times New Roman" w:hAnsi="Times New Roman"/>
          <w:sz w:val="24"/>
          <w:szCs w:val="24"/>
        </w:rPr>
        <w:t xml:space="preserve"> ai sensi dell’articolo 8, comma 1, lettera</w:t>
      </w:r>
      <w:r w:rsidR="006221EE" w:rsidRPr="000965DA">
        <w:rPr>
          <w:rFonts w:ascii="Times New Roman" w:hAnsi="Times New Roman"/>
          <w:sz w:val="24"/>
          <w:szCs w:val="24"/>
        </w:rPr>
        <w:t xml:space="preserve"> d), del decreto legislativo 17 maggio 1999, n. 153;</w:t>
      </w:r>
      <w:r w:rsidR="006C524F" w:rsidRPr="000965DA">
        <w:rPr>
          <w:rFonts w:ascii="Times New Roman" w:hAnsi="Times New Roman"/>
          <w:sz w:val="24"/>
          <w:szCs w:val="24"/>
        </w:rPr>
        <w:t xml:space="preserve"> non</w:t>
      </w:r>
      <w:r w:rsidR="00DE2C73" w:rsidRPr="000965DA">
        <w:rPr>
          <w:rFonts w:ascii="Times New Roman" w:hAnsi="Times New Roman"/>
          <w:sz w:val="24"/>
          <w:szCs w:val="24"/>
        </w:rPr>
        <w:t xml:space="preserve"> vengono calcolati i </w:t>
      </w:r>
      <w:r w:rsidR="006C524F" w:rsidRPr="000965DA">
        <w:rPr>
          <w:rFonts w:ascii="Times New Roman" w:hAnsi="Times New Roman"/>
          <w:sz w:val="24"/>
          <w:szCs w:val="24"/>
        </w:rPr>
        <w:t xml:space="preserve"> contributi integrativi </w:t>
      </w:r>
      <w:r w:rsidR="00F84DCD" w:rsidRPr="000965DA">
        <w:rPr>
          <w:rFonts w:ascii="Times New Roman" w:hAnsi="Times New Roman"/>
          <w:sz w:val="24"/>
          <w:szCs w:val="24"/>
        </w:rPr>
        <w:t xml:space="preserve"> eventualmente previsti </w:t>
      </w:r>
      <w:r w:rsidR="006C524F" w:rsidRPr="000965DA">
        <w:rPr>
          <w:rFonts w:ascii="Times New Roman" w:hAnsi="Times New Roman"/>
          <w:sz w:val="24"/>
          <w:szCs w:val="24"/>
        </w:rPr>
        <w:t>dall’Organismo Nazionale di Controllo</w:t>
      </w:r>
      <w:r w:rsidR="00F84DCD" w:rsidRPr="000965DA">
        <w:rPr>
          <w:rFonts w:ascii="Times New Roman" w:hAnsi="Times New Roman"/>
          <w:sz w:val="24"/>
          <w:szCs w:val="24"/>
        </w:rPr>
        <w:t xml:space="preserve"> in assenza di riferimenti;</w:t>
      </w:r>
      <w:r w:rsidR="006C524F" w:rsidRPr="000965DA">
        <w:rPr>
          <w:rFonts w:ascii="Times New Roman" w:hAnsi="Times New Roman"/>
          <w:sz w:val="24"/>
          <w:szCs w:val="24"/>
        </w:rPr>
        <w:t xml:space="preserve">  </w:t>
      </w:r>
    </w:p>
    <w:p w:rsidR="004C68A1" w:rsidRPr="00103E0A" w:rsidRDefault="007726AA" w:rsidP="0066346B">
      <w:pPr>
        <w:pStyle w:val="Paragrafoelenco"/>
        <w:numPr>
          <w:ilvl w:val="0"/>
          <w:numId w:val="34"/>
        </w:numPr>
        <w:spacing w:line="240" w:lineRule="auto"/>
        <w:ind w:left="284" w:hanging="284"/>
        <w:jc w:val="both"/>
        <w:rPr>
          <w:rFonts w:ascii="Times New Roman" w:hAnsi="Times New Roman"/>
          <w:sz w:val="24"/>
          <w:szCs w:val="24"/>
        </w:rPr>
      </w:pPr>
      <w:r w:rsidRPr="00832CDC">
        <w:rPr>
          <w:rFonts w:ascii="Times New Roman" w:hAnsi="Times New Roman"/>
          <w:b/>
          <w:bCs/>
          <w:sz w:val="24"/>
          <w:szCs w:val="24"/>
        </w:rPr>
        <w:t xml:space="preserve">€ </w:t>
      </w:r>
      <w:r w:rsidR="007E6FDF">
        <w:rPr>
          <w:rFonts w:ascii="Times New Roman" w:hAnsi="Times New Roman"/>
          <w:b/>
          <w:bCs/>
          <w:sz w:val="24"/>
          <w:szCs w:val="24"/>
        </w:rPr>
        <w:t>5</w:t>
      </w:r>
      <w:r w:rsidR="00B97E55">
        <w:rPr>
          <w:rFonts w:ascii="Times New Roman" w:hAnsi="Times New Roman"/>
          <w:b/>
          <w:bCs/>
          <w:sz w:val="24"/>
          <w:szCs w:val="24"/>
        </w:rPr>
        <w:t>03.150</w:t>
      </w:r>
      <w:r w:rsidR="000C4C3F">
        <w:rPr>
          <w:rFonts w:ascii="Times New Roman" w:hAnsi="Times New Roman"/>
          <w:bCs/>
          <w:sz w:val="24"/>
          <w:szCs w:val="24"/>
        </w:rPr>
        <w:t xml:space="preserve"> </w:t>
      </w:r>
      <w:r w:rsidR="004C68A1" w:rsidRPr="007726AA">
        <w:rPr>
          <w:rFonts w:ascii="Times New Roman" w:hAnsi="Times New Roman"/>
          <w:bCs/>
          <w:sz w:val="24"/>
          <w:szCs w:val="24"/>
        </w:rPr>
        <w:t>al Fondo per In</w:t>
      </w:r>
      <w:r w:rsidR="00A04DCB">
        <w:rPr>
          <w:rFonts w:ascii="Times New Roman" w:hAnsi="Times New Roman"/>
          <w:bCs/>
          <w:sz w:val="24"/>
          <w:szCs w:val="24"/>
        </w:rPr>
        <w:t xml:space="preserve">terventi </w:t>
      </w:r>
      <w:proofErr w:type="gramStart"/>
      <w:r w:rsidR="00A04DCB">
        <w:rPr>
          <w:rFonts w:ascii="Times New Roman" w:hAnsi="Times New Roman"/>
          <w:bCs/>
          <w:sz w:val="24"/>
          <w:szCs w:val="24"/>
        </w:rPr>
        <w:t xml:space="preserve">Istituzionali </w:t>
      </w:r>
      <w:r w:rsidR="004C68A1" w:rsidRPr="007726AA">
        <w:rPr>
          <w:rFonts w:ascii="Times New Roman" w:hAnsi="Times New Roman"/>
          <w:bCs/>
          <w:sz w:val="24"/>
          <w:szCs w:val="24"/>
        </w:rPr>
        <w:t>,</w:t>
      </w:r>
      <w:proofErr w:type="gramEnd"/>
      <w:r w:rsidR="004C68A1" w:rsidRPr="007726AA">
        <w:rPr>
          <w:rFonts w:ascii="Times New Roman" w:hAnsi="Times New Roman"/>
          <w:bCs/>
          <w:sz w:val="24"/>
          <w:szCs w:val="24"/>
        </w:rPr>
        <w:t xml:space="preserve"> a</w:t>
      </w:r>
      <w:r w:rsidR="000E73B2" w:rsidRPr="007726AA">
        <w:rPr>
          <w:rFonts w:ascii="Times New Roman" w:hAnsi="Times New Roman"/>
          <w:bCs/>
          <w:sz w:val="24"/>
          <w:szCs w:val="24"/>
        </w:rPr>
        <w:t xml:space="preserve"> completo utilizzo dell’Avanzo d</w:t>
      </w:r>
      <w:r w:rsidR="004C68A1" w:rsidRPr="007726AA">
        <w:rPr>
          <w:rFonts w:ascii="Times New Roman" w:hAnsi="Times New Roman"/>
          <w:bCs/>
          <w:sz w:val="24"/>
          <w:szCs w:val="24"/>
        </w:rPr>
        <w:t>isponibile dell’esercizio dopo i predetti accantonamenti</w:t>
      </w:r>
      <w:r w:rsidR="00103E0A">
        <w:rPr>
          <w:rFonts w:ascii="Times New Roman" w:hAnsi="Times New Roman"/>
          <w:bCs/>
          <w:sz w:val="24"/>
          <w:szCs w:val="24"/>
        </w:rPr>
        <w:t xml:space="preserve"> di cui </w:t>
      </w:r>
      <w:r w:rsidR="00103E0A" w:rsidRPr="00832CDC">
        <w:rPr>
          <w:rFonts w:ascii="Times New Roman" w:hAnsi="Times New Roman"/>
          <w:b/>
          <w:sz w:val="24"/>
          <w:szCs w:val="24"/>
        </w:rPr>
        <w:t xml:space="preserve">€ </w:t>
      </w:r>
      <w:r w:rsidR="00B97E55">
        <w:rPr>
          <w:rFonts w:ascii="Times New Roman" w:eastAsiaTheme="minorHAnsi" w:hAnsi="Times New Roman"/>
          <w:b/>
          <w:sz w:val="24"/>
          <w:szCs w:val="24"/>
        </w:rPr>
        <w:t>1.5</w:t>
      </w:r>
      <w:r w:rsidR="00E42701">
        <w:rPr>
          <w:rFonts w:ascii="Times New Roman" w:eastAsiaTheme="minorHAnsi" w:hAnsi="Times New Roman"/>
          <w:b/>
          <w:sz w:val="24"/>
          <w:szCs w:val="24"/>
        </w:rPr>
        <w:t>6</w:t>
      </w:r>
      <w:r w:rsidR="00B97E55">
        <w:rPr>
          <w:rFonts w:ascii="Times New Roman" w:eastAsiaTheme="minorHAnsi" w:hAnsi="Times New Roman"/>
          <w:b/>
          <w:sz w:val="24"/>
          <w:szCs w:val="24"/>
        </w:rPr>
        <w:t>2</w:t>
      </w:r>
      <w:r w:rsidR="00103E0A">
        <w:rPr>
          <w:rFonts w:ascii="Times New Roman" w:eastAsiaTheme="minorHAnsi" w:hAnsi="Times New Roman"/>
        </w:rPr>
        <w:t xml:space="preserve">  </w:t>
      </w:r>
      <w:r w:rsidR="00103E0A" w:rsidRPr="004C68A1">
        <w:rPr>
          <w:rFonts w:ascii="Times New Roman" w:hAnsi="Times New Roman"/>
          <w:color w:val="000000"/>
          <w:sz w:val="24"/>
          <w:szCs w:val="24"/>
        </w:rPr>
        <w:t>al fondo nazionale iniziative comuni delle fondazioni</w:t>
      </w:r>
      <w:r w:rsidR="00103E0A" w:rsidRPr="004C68A1">
        <w:rPr>
          <w:rFonts w:ascii="Times New Roman" w:hAnsi="Times New Roman"/>
          <w:sz w:val="24"/>
          <w:szCs w:val="24"/>
        </w:rPr>
        <w:t xml:space="preserve"> base delle indicazi</w:t>
      </w:r>
      <w:r w:rsidR="00103E0A">
        <w:rPr>
          <w:rFonts w:ascii="Times New Roman" w:hAnsi="Times New Roman"/>
          <w:sz w:val="24"/>
          <w:szCs w:val="24"/>
        </w:rPr>
        <w:t>oni ricevute da parte dell’ACRI pari al</w:t>
      </w:r>
      <w:r w:rsidR="00103E0A" w:rsidRPr="004C68A1">
        <w:rPr>
          <w:rFonts w:ascii="Times New Roman" w:hAnsi="Times New Roman"/>
          <w:sz w:val="24"/>
          <w:szCs w:val="24"/>
        </w:rPr>
        <w:t xml:space="preserve">  0,3% dell’avanzo di gestione al netto degli accantonamenti a riserve patrimoniali (riserva obbligatoria e riserva per integrità del patrimonio) e a c</w:t>
      </w:r>
      <w:r w:rsidR="00103E0A">
        <w:rPr>
          <w:rFonts w:ascii="Times New Roman" w:hAnsi="Times New Roman"/>
          <w:sz w:val="24"/>
          <w:szCs w:val="24"/>
        </w:rPr>
        <w:t>opertura di disavanzi pregressi</w:t>
      </w:r>
      <w:r w:rsidR="00103E0A">
        <w:rPr>
          <w:rFonts w:ascii="Times New Roman" w:eastAsiaTheme="minorHAnsi" w:hAnsi="Times New Roman"/>
        </w:rPr>
        <w:t>;</w:t>
      </w:r>
    </w:p>
    <w:p w:rsidR="004C68A1" w:rsidRPr="007726AA" w:rsidRDefault="004C68A1" w:rsidP="0066346B">
      <w:pPr>
        <w:pStyle w:val="Paragrafoelenco"/>
        <w:numPr>
          <w:ilvl w:val="0"/>
          <w:numId w:val="34"/>
        </w:numPr>
        <w:spacing w:line="240" w:lineRule="auto"/>
        <w:ind w:left="284" w:hanging="284"/>
        <w:jc w:val="both"/>
        <w:rPr>
          <w:rFonts w:ascii="Times New Roman" w:hAnsi="Times New Roman"/>
          <w:bCs/>
          <w:sz w:val="24"/>
          <w:szCs w:val="24"/>
        </w:rPr>
      </w:pPr>
      <w:r w:rsidRPr="007726AA">
        <w:rPr>
          <w:rFonts w:ascii="Times New Roman" w:hAnsi="Times New Roman"/>
          <w:bCs/>
          <w:sz w:val="24"/>
          <w:szCs w:val="24"/>
        </w:rPr>
        <w:t>non sono stati prev</w:t>
      </w:r>
      <w:r w:rsidR="00130362" w:rsidRPr="007726AA">
        <w:rPr>
          <w:rFonts w:ascii="Times New Roman" w:hAnsi="Times New Roman"/>
          <w:bCs/>
          <w:sz w:val="24"/>
          <w:szCs w:val="24"/>
        </w:rPr>
        <w:t>isti accantonamenti facoltativi.</w:t>
      </w:r>
    </w:p>
    <w:p w:rsidR="0019726C" w:rsidRPr="000E412C" w:rsidRDefault="0019726C" w:rsidP="006221EE">
      <w:pPr>
        <w:pStyle w:val="Delibera"/>
        <w:spacing w:line="240" w:lineRule="auto"/>
        <w:ind w:right="-1"/>
        <w:rPr>
          <w:rFonts w:asciiTheme="minorHAnsi" w:hAnsiTheme="minorHAnsi"/>
          <w:bCs/>
          <w:iCs/>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701"/>
        <w:gridCol w:w="1701"/>
      </w:tblGrid>
      <w:tr w:rsidR="000C4C3F" w:rsidRPr="00E049C0" w:rsidTr="000C4C3F">
        <w:trPr>
          <w:trHeight w:val="510"/>
        </w:trPr>
        <w:tc>
          <w:tcPr>
            <w:tcW w:w="3119" w:type="dxa"/>
            <w:vAlign w:val="center"/>
          </w:tcPr>
          <w:p w:rsidR="000C4C3F" w:rsidRPr="00E049C0" w:rsidRDefault="000C4C3F" w:rsidP="000C4C3F">
            <w:pPr>
              <w:rPr>
                <w:rFonts w:ascii="Times New Roman" w:eastAsiaTheme="minorHAnsi" w:hAnsi="Times New Roman"/>
                <w:b/>
                <w:szCs w:val="22"/>
                <w:lang w:eastAsia="en-US"/>
              </w:rPr>
            </w:pPr>
            <w:r w:rsidRPr="00E049C0">
              <w:rPr>
                <w:rFonts w:ascii="Times New Roman" w:eastAsiaTheme="minorHAnsi" w:hAnsi="Times New Roman"/>
                <w:b/>
                <w:bCs/>
                <w:iCs/>
                <w:sz w:val="22"/>
                <w:szCs w:val="22"/>
                <w:lang w:eastAsia="en-US"/>
              </w:rPr>
              <w:t>ACCANTONAMENTI</w:t>
            </w:r>
          </w:p>
        </w:tc>
        <w:tc>
          <w:tcPr>
            <w:tcW w:w="1843" w:type="dxa"/>
            <w:vAlign w:val="center"/>
          </w:tcPr>
          <w:p w:rsidR="000C4C3F" w:rsidRPr="00E049C0" w:rsidRDefault="000C4C3F" w:rsidP="000C4C3F">
            <w:pPr>
              <w:jc w:val="center"/>
              <w:rPr>
                <w:rFonts w:ascii="Times New Roman" w:eastAsiaTheme="minorHAnsi" w:hAnsi="Times New Roman"/>
                <w:b/>
                <w:szCs w:val="22"/>
                <w:lang w:eastAsia="en-US"/>
              </w:rPr>
            </w:pPr>
            <w:r w:rsidRPr="00E049C0">
              <w:rPr>
                <w:rFonts w:ascii="Times New Roman" w:eastAsiaTheme="minorHAnsi" w:hAnsi="Times New Roman"/>
                <w:b/>
                <w:bCs/>
                <w:iCs/>
                <w:sz w:val="22"/>
                <w:szCs w:val="22"/>
                <w:lang w:eastAsia="en-US"/>
              </w:rPr>
              <w:t>DPP</w:t>
            </w:r>
            <w:r w:rsidRPr="00E049C0">
              <w:rPr>
                <w:rFonts w:ascii="Times New Roman" w:eastAsiaTheme="minorHAnsi" w:hAnsi="Times New Roman"/>
                <w:b/>
                <w:sz w:val="22"/>
                <w:szCs w:val="22"/>
                <w:lang w:eastAsia="en-US"/>
              </w:rPr>
              <w:t xml:space="preserve"> 202</w:t>
            </w:r>
            <w:r>
              <w:rPr>
                <w:rFonts w:ascii="Times New Roman" w:eastAsiaTheme="minorHAnsi" w:hAnsi="Times New Roman"/>
                <w:b/>
                <w:sz w:val="22"/>
                <w:szCs w:val="22"/>
                <w:lang w:eastAsia="en-US"/>
              </w:rPr>
              <w:t>1</w:t>
            </w:r>
          </w:p>
        </w:tc>
        <w:tc>
          <w:tcPr>
            <w:tcW w:w="1701" w:type="dxa"/>
            <w:vAlign w:val="center"/>
          </w:tcPr>
          <w:p w:rsidR="000C4C3F" w:rsidRPr="00E42701" w:rsidRDefault="000C4C3F" w:rsidP="000C4C3F">
            <w:pPr>
              <w:jc w:val="center"/>
              <w:rPr>
                <w:rFonts w:ascii="Times New Roman" w:eastAsiaTheme="minorHAnsi" w:hAnsi="Times New Roman"/>
                <w:szCs w:val="22"/>
                <w:lang w:eastAsia="en-US"/>
              </w:rPr>
            </w:pPr>
            <w:r w:rsidRPr="00E42701">
              <w:rPr>
                <w:rFonts w:ascii="Times New Roman" w:eastAsiaTheme="minorHAnsi" w:hAnsi="Times New Roman"/>
                <w:bCs/>
                <w:iCs/>
                <w:sz w:val="22"/>
                <w:szCs w:val="22"/>
                <w:lang w:eastAsia="en-US"/>
              </w:rPr>
              <w:t>DPP</w:t>
            </w:r>
            <w:r w:rsidRPr="00E42701">
              <w:rPr>
                <w:rFonts w:ascii="Times New Roman" w:eastAsiaTheme="minorHAnsi" w:hAnsi="Times New Roman"/>
                <w:sz w:val="22"/>
                <w:szCs w:val="22"/>
                <w:lang w:eastAsia="en-US"/>
              </w:rPr>
              <w:t xml:space="preserve"> 2020</w:t>
            </w:r>
          </w:p>
        </w:tc>
        <w:tc>
          <w:tcPr>
            <w:tcW w:w="1701" w:type="dxa"/>
            <w:vAlign w:val="center"/>
          </w:tcPr>
          <w:p w:rsidR="000C4C3F" w:rsidRPr="00E049C0" w:rsidRDefault="000C4C3F" w:rsidP="000C4C3F">
            <w:pPr>
              <w:pStyle w:val="Delibera"/>
              <w:spacing w:line="240" w:lineRule="auto"/>
              <w:ind w:right="-1"/>
              <w:jc w:val="center"/>
              <w:rPr>
                <w:rFonts w:eastAsiaTheme="minorHAnsi"/>
                <w:bCs/>
                <w:i/>
                <w:iCs/>
                <w:szCs w:val="22"/>
                <w:lang w:eastAsia="en-US"/>
              </w:rPr>
            </w:pPr>
            <w:r>
              <w:rPr>
                <w:rFonts w:eastAsiaTheme="minorHAnsi"/>
                <w:bCs/>
                <w:i/>
                <w:iCs/>
                <w:sz w:val="22"/>
                <w:szCs w:val="22"/>
                <w:lang w:eastAsia="en-US"/>
              </w:rPr>
              <w:t xml:space="preserve">Consuntivo 2019 </w:t>
            </w:r>
          </w:p>
        </w:tc>
      </w:tr>
      <w:tr w:rsidR="000C4C3F" w:rsidRPr="00E049C0" w:rsidTr="000C4C3F">
        <w:trPr>
          <w:trHeight w:val="510"/>
        </w:trPr>
        <w:tc>
          <w:tcPr>
            <w:tcW w:w="3119" w:type="dxa"/>
            <w:vAlign w:val="center"/>
          </w:tcPr>
          <w:p w:rsidR="000C4C3F" w:rsidRPr="00223D5E" w:rsidRDefault="000C4C3F" w:rsidP="000C4C3F">
            <w:pPr>
              <w:rPr>
                <w:rFonts w:ascii="Times New Roman" w:eastAsiaTheme="minorHAnsi" w:hAnsi="Times New Roman"/>
                <w:szCs w:val="24"/>
                <w:lang w:eastAsia="en-US"/>
              </w:rPr>
            </w:pPr>
            <w:r w:rsidRPr="00223D5E">
              <w:rPr>
                <w:rFonts w:ascii="Times New Roman" w:eastAsiaTheme="minorHAnsi" w:hAnsi="Times New Roman"/>
                <w:szCs w:val="24"/>
                <w:lang w:eastAsia="en-US"/>
              </w:rPr>
              <w:t xml:space="preserve">Accantonamento per copertura disavanzi pregressi </w:t>
            </w:r>
          </w:p>
        </w:tc>
        <w:tc>
          <w:tcPr>
            <w:tcW w:w="1843" w:type="dxa"/>
            <w:vAlign w:val="center"/>
          </w:tcPr>
          <w:p w:rsidR="000C4C3F" w:rsidRPr="00223D5E" w:rsidRDefault="00B97E55"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216.875</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205.000</w:t>
            </w:r>
          </w:p>
        </w:tc>
        <w:tc>
          <w:tcPr>
            <w:tcW w:w="1701" w:type="dxa"/>
            <w:vAlign w:val="center"/>
          </w:tcPr>
          <w:p w:rsidR="000C4C3F" w:rsidRPr="00223D5E" w:rsidRDefault="000C4C3F" w:rsidP="000C4C3F">
            <w:pPr>
              <w:jc w:val="right"/>
              <w:rPr>
                <w:rFonts w:ascii="Times New Roman" w:eastAsiaTheme="minorHAnsi" w:hAnsi="Times New Roman"/>
                <w:i/>
                <w:szCs w:val="24"/>
                <w:lang w:eastAsia="en-US"/>
              </w:rPr>
            </w:pPr>
            <w:r w:rsidRPr="00223D5E">
              <w:rPr>
                <w:rFonts w:ascii="Times New Roman" w:eastAsiaTheme="minorHAnsi" w:hAnsi="Times New Roman"/>
                <w:i/>
                <w:szCs w:val="24"/>
                <w:lang w:eastAsia="en-US"/>
              </w:rPr>
              <w:t>950.000</w:t>
            </w:r>
          </w:p>
        </w:tc>
      </w:tr>
      <w:tr w:rsidR="000C4C3F" w:rsidRPr="00E049C0" w:rsidTr="000C4C3F">
        <w:trPr>
          <w:trHeight w:val="510"/>
        </w:trPr>
        <w:tc>
          <w:tcPr>
            <w:tcW w:w="3119" w:type="dxa"/>
            <w:vAlign w:val="center"/>
          </w:tcPr>
          <w:p w:rsidR="000C4C3F" w:rsidRPr="00223D5E" w:rsidRDefault="000C4C3F" w:rsidP="000C4C3F">
            <w:pPr>
              <w:rPr>
                <w:rFonts w:ascii="Times New Roman" w:eastAsiaTheme="minorHAnsi" w:hAnsi="Times New Roman"/>
                <w:bCs/>
                <w:szCs w:val="24"/>
                <w:lang w:eastAsia="en-US"/>
              </w:rPr>
            </w:pPr>
            <w:r w:rsidRPr="00223D5E">
              <w:rPr>
                <w:rFonts w:ascii="Times New Roman" w:eastAsiaTheme="minorHAnsi" w:hAnsi="Times New Roman"/>
                <w:bCs/>
                <w:iCs/>
                <w:szCs w:val="24"/>
                <w:lang w:eastAsia="en-US"/>
              </w:rPr>
              <w:t xml:space="preserve">Accantonamento alla riserva obbligatoria </w:t>
            </w:r>
          </w:p>
        </w:tc>
        <w:tc>
          <w:tcPr>
            <w:tcW w:w="1843"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1</w:t>
            </w:r>
            <w:r w:rsidR="00B97E55">
              <w:rPr>
                <w:rFonts w:ascii="Times New Roman" w:eastAsiaTheme="minorHAnsi" w:hAnsi="Times New Roman"/>
                <w:szCs w:val="24"/>
                <w:lang w:eastAsia="en-US"/>
              </w:rPr>
              <w:t>30.125</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123.000</w:t>
            </w:r>
          </w:p>
        </w:tc>
        <w:tc>
          <w:tcPr>
            <w:tcW w:w="1701" w:type="dxa"/>
            <w:vAlign w:val="center"/>
          </w:tcPr>
          <w:p w:rsidR="000C4C3F" w:rsidRPr="00223D5E" w:rsidRDefault="000C4C3F" w:rsidP="000C4C3F">
            <w:pPr>
              <w:jc w:val="right"/>
              <w:rPr>
                <w:rFonts w:ascii="Times New Roman" w:eastAsiaTheme="minorHAnsi" w:hAnsi="Times New Roman"/>
                <w:i/>
                <w:szCs w:val="24"/>
                <w:lang w:eastAsia="en-US"/>
              </w:rPr>
            </w:pPr>
            <w:r w:rsidRPr="00223D5E">
              <w:rPr>
                <w:rFonts w:ascii="Times New Roman" w:eastAsiaTheme="minorHAnsi" w:hAnsi="Times New Roman"/>
                <w:i/>
                <w:szCs w:val="24"/>
                <w:lang w:eastAsia="en-US"/>
              </w:rPr>
              <w:t>376.195</w:t>
            </w:r>
          </w:p>
        </w:tc>
      </w:tr>
      <w:tr w:rsidR="000C4C3F" w:rsidRPr="00E049C0" w:rsidTr="000C4C3F">
        <w:trPr>
          <w:trHeight w:val="510"/>
        </w:trPr>
        <w:tc>
          <w:tcPr>
            <w:tcW w:w="3119" w:type="dxa"/>
            <w:vAlign w:val="center"/>
          </w:tcPr>
          <w:p w:rsidR="000C4C3F" w:rsidRPr="00223D5E" w:rsidRDefault="000C4C3F" w:rsidP="000C4C3F">
            <w:pPr>
              <w:rPr>
                <w:rFonts w:ascii="Times New Roman" w:eastAsiaTheme="minorHAnsi" w:hAnsi="Times New Roman"/>
                <w:bCs/>
                <w:szCs w:val="24"/>
                <w:lang w:eastAsia="en-US"/>
              </w:rPr>
            </w:pPr>
            <w:r w:rsidRPr="00223D5E">
              <w:rPr>
                <w:rFonts w:ascii="Times New Roman" w:eastAsiaTheme="minorHAnsi" w:hAnsi="Times New Roman"/>
                <w:bCs/>
                <w:iCs/>
                <w:szCs w:val="24"/>
                <w:lang w:eastAsia="en-US"/>
              </w:rPr>
              <w:t>Accantonamento al FUN</w:t>
            </w:r>
          </w:p>
        </w:tc>
        <w:tc>
          <w:tcPr>
            <w:tcW w:w="1843" w:type="dxa"/>
            <w:vAlign w:val="center"/>
          </w:tcPr>
          <w:p w:rsidR="000C4C3F" w:rsidRPr="00223D5E" w:rsidRDefault="00B97E55"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17.350</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16.400</w:t>
            </w:r>
          </w:p>
        </w:tc>
        <w:tc>
          <w:tcPr>
            <w:tcW w:w="1701" w:type="dxa"/>
            <w:vAlign w:val="center"/>
          </w:tcPr>
          <w:p w:rsidR="000C4C3F" w:rsidRPr="00223D5E" w:rsidRDefault="000C4C3F" w:rsidP="000C4C3F">
            <w:pPr>
              <w:jc w:val="right"/>
              <w:rPr>
                <w:rFonts w:ascii="Times New Roman" w:eastAsiaTheme="minorHAnsi" w:hAnsi="Times New Roman"/>
                <w:i/>
                <w:szCs w:val="24"/>
                <w:lang w:eastAsia="en-US"/>
              </w:rPr>
            </w:pPr>
            <w:r w:rsidRPr="00223D5E">
              <w:rPr>
                <w:rFonts w:ascii="Times New Roman" w:eastAsiaTheme="minorHAnsi" w:hAnsi="Times New Roman"/>
                <w:i/>
                <w:szCs w:val="24"/>
                <w:lang w:eastAsia="en-US"/>
              </w:rPr>
              <w:t>50.159</w:t>
            </w:r>
          </w:p>
        </w:tc>
      </w:tr>
      <w:tr w:rsidR="000C4C3F" w:rsidRPr="00E049C0" w:rsidTr="000C4C3F">
        <w:trPr>
          <w:trHeight w:val="510"/>
        </w:trPr>
        <w:tc>
          <w:tcPr>
            <w:tcW w:w="3119" w:type="dxa"/>
            <w:vAlign w:val="center"/>
          </w:tcPr>
          <w:p w:rsidR="000C4C3F" w:rsidRPr="00223D5E" w:rsidRDefault="000C4C3F" w:rsidP="000C4C3F">
            <w:pPr>
              <w:rPr>
                <w:rFonts w:ascii="Times New Roman" w:eastAsiaTheme="minorHAnsi" w:hAnsi="Times New Roman"/>
                <w:bCs/>
                <w:szCs w:val="24"/>
                <w:lang w:eastAsia="en-US"/>
              </w:rPr>
            </w:pPr>
            <w:r w:rsidRPr="00223D5E">
              <w:rPr>
                <w:rFonts w:ascii="Times New Roman" w:eastAsiaTheme="minorHAnsi" w:hAnsi="Times New Roman"/>
                <w:bCs/>
                <w:szCs w:val="24"/>
                <w:lang w:eastAsia="en-US"/>
              </w:rPr>
              <w:t xml:space="preserve">Accantonamento al fondo per interventi </w:t>
            </w:r>
            <w:proofErr w:type="gramStart"/>
            <w:r w:rsidRPr="00223D5E">
              <w:rPr>
                <w:rFonts w:ascii="Times New Roman" w:eastAsiaTheme="minorHAnsi" w:hAnsi="Times New Roman"/>
                <w:bCs/>
                <w:szCs w:val="24"/>
                <w:lang w:eastAsia="en-US"/>
              </w:rPr>
              <w:t>istituzionali  di</w:t>
            </w:r>
            <w:proofErr w:type="gramEnd"/>
            <w:r w:rsidRPr="00223D5E">
              <w:rPr>
                <w:rFonts w:ascii="Times New Roman" w:eastAsiaTheme="minorHAnsi" w:hAnsi="Times New Roman"/>
                <w:bCs/>
                <w:szCs w:val="24"/>
                <w:lang w:eastAsia="en-US"/>
              </w:rPr>
              <w:t xml:space="preserve"> cui</w:t>
            </w:r>
          </w:p>
        </w:tc>
        <w:tc>
          <w:tcPr>
            <w:tcW w:w="1843" w:type="dxa"/>
            <w:vAlign w:val="center"/>
          </w:tcPr>
          <w:p w:rsidR="000C4C3F" w:rsidRPr="00223D5E" w:rsidRDefault="007E6FDF"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50</w:t>
            </w:r>
            <w:r w:rsidR="00B97E55">
              <w:rPr>
                <w:rFonts w:ascii="Times New Roman" w:eastAsiaTheme="minorHAnsi" w:hAnsi="Times New Roman"/>
                <w:szCs w:val="24"/>
                <w:lang w:eastAsia="en-US"/>
              </w:rPr>
              <w:t>1</w:t>
            </w:r>
            <w:r w:rsidR="00E42701">
              <w:rPr>
                <w:rFonts w:ascii="Times New Roman" w:eastAsiaTheme="minorHAnsi" w:hAnsi="Times New Roman"/>
                <w:szCs w:val="24"/>
                <w:lang w:eastAsia="en-US"/>
              </w:rPr>
              <w:t>.588</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474.124</w:t>
            </w:r>
          </w:p>
        </w:tc>
        <w:tc>
          <w:tcPr>
            <w:tcW w:w="1701" w:type="dxa"/>
            <w:vAlign w:val="center"/>
          </w:tcPr>
          <w:p w:rsidR="000C4C3F" w:rsidRPr="00223D5E" w:rsidRDefault="000C4C3F" w:rsidP="000C4C3F">
            <w:pPr>
              <w:jc w:val="right"/>
              <w:rPr>
                <w:rFonts w:ascii="Times New Roman" w:eastAsiaTheme="minorHAnsi" w:hAnsi="Times New Roman"/>
                <w:i/>
                <w:szCs w:val="24"/>
                <w:lang w:eastAsia="en-US"/>
              </w:rPr>
            </w:pPr>
            <w:r w:rsidRPr="00223D5E">
              <w:rPr>
                <w:rFonts w:ascii="Times New Roman" w:eastAsiaTheme="minorHAnsi" w:hAnsi="Times New Roman"/>
                <w:i/>
                <w:szCs w:val="24"/>
                <w:lang w:eastAsia="en-US"/>
              </w:rPr>
              <w:t>1.454.619</w:t>
            </w:r>
          </w:p>
        </w:tc>
      </w:tr>
      <w:tr w:rsidR="000C4C3F" w:rsidRPr="00E049C0" w:rsidTr="000C4C3F">
        <w:trPr>
          <w:trHeight w:val="510"/>
        </w:trPr>
        <w:tc>
          <w:tcPr>
            <w:tcW w:w="3119" w:type="dxa"/>
            <w:vAlign w:val="center"/>
          </w:tcPr>
          <w:p w:rsidR="000C4C3F" w:rsidRPr="00223D5E" w:rsidRDefault="000C4C3F" w:rsidP="000C4C3F">
            <w:pPr>
              <w:jc w:val="right"/>
              <w:rPr>
                <w:rFonts w:ascii="Times New Roman" w:eastAsiaTheme="minorHAnsi" w:hAnsi="Times New Roman"/>
                <w:bCs/>
                <w:szCs w:val="24"/>
                <w:lang w:eastAsia="en-US"/>
              </w:rPr>
            </w:pPr>
            <w:r w:rsidRPr="00223D5E">
              <w:rPr>
                <w:rFonts w:ascii="Times New Roman" w:hAnsi="Times New Roman"/>
                <w:i/>
                <w:iCs/>
                <w:color w:val="000000"/>
                <w:szCs w:val="24"/>
              </w:rPr>
              <w:t>al fondo di stabilizzazione delle erogazioni</w:t>
            </w:r>
          </w:p>
        </w:tc>
        <w:tc>
          <w:tcPr>
            <w:tcW w:w="1843" w:type="dxa"/>
            <w:vAlign w:val="center"/>
          </w:tcPr>
          <w:p w:rsidR="000C4C3F" w:rsidRPr="00684343" w:rsidRDefault="00684343" w:rsidP="000C4C3F">
            <w:pPr>
              <w:jc w:val="right"/>
              <w:rPr>
                <w:rFonts w:ascii="Times New Roman" w:eastAsiaTheme="minorHAnsi" w:hAnsi="Times New Roman"/>
                <w:i/>
                <w:szCs w:val="24"/>
                <w:lang w:eastAsia="en-US"/>
              </w:rPr>
            </w:pPr>
            <w:r>
              <w:rPr>
                <w:rFonts w:ascii="Times New Roman" w:eastAsiaTheme="minorHAnsi" w:hAnsi="Times New Roman"/>
                <w:i/>
                <w:szCs w:val="24"/>
                <w:lang w:eastAsia="en-US"/>
              </w:rPr>
              <w:t>-</w:t>
            </w:r>
          </w:p>
        </w:tc>
        <w:tc>
          <w:tcPr>
            <w:tcW w:w="1701" w:type="dxa"/>
            <w:vAlign w:val="center"/>
          </w:tcPr>
          <w:p w:rsidR="000C4C3F" w:rsidRPr="00223D5E" w:rsidRDefault="00684343"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w:t>
            </w:r>
          </w:p>
        </w:tc>
        <w:tc>
          <w:tcPr>
            <w:tcW w:w="1701" w:type="dxa"/>
            <w:vAlign w:val="center"/>
          </w:tcPr>
          <w:p w:rsidR="000C4C3F" w:rsidRPr="00223D5E" w:rsidRDefault="000C4C3F" w:rsidP="000C4C3F">
            <w:pPr>
              <w:jc w:val="left"/>
              <w:rPr>
                <w:rFonts w:ascii="Times New Roman" w:eastAsiaTheme="minorHAnsi" w:hAnsi="Times New Roman"/>
                <w:i/>
                <w:szCs w:val="24"/>
                <w:lang w:eastAsia="en-US"/>
              </w:rPr>
            </w:pPr>
            <w:r w:rsidRPr="00223D5E">
              <w:rPr>
                <w:rFonts w:ascii="Times New Roman" w:eastAsiaTheme="minorHAnsi" w:hAnsi="Times New Roman"/>
                <w:i/>
                <w:szCs w:val="24"/>
                <w:lang w:eastAsia="en-US"/>
              </w:rPr>
              <w:t>450.105</w:t>
            </w:r>
          </w:p>
        </w:tc>
      </w:tr>
      <w:tr w:rsidR="000C4C3F" w:rsidRPr="00E049C0" w:rsidTr="000C4C3F">
        <w:trPr>
          <w:trHeight w:val="510"/>
        </w:trPr>
        <w:tc>
          <w:tcPr>
            <w:tcW w:w="3119" w:type="dxa"/>
            <w:vAlign w:val="center"/>
          </w:tcPr>
          <w:p w:rsidR="000C4C3F" w:rsidRPr="00223D5E" w:rsidRDefault="000C4C3F" w:rsidP="000C4C3F">
            <w:pPr>
              <w:jc w:val="right"/>
              <w:rPr>
                <w:rFonts w:ascii="Times New Roman" w:eastAsiaTheme="minorHAnsi" w:hAnsi="Times New Roman"/>
                <w:bCs/>
                <w:szCs w:val="24"/>
                <w:lang w:eastAsia="en-US"/>
              </w:rPr>
            </w:pPr>
            <w:r w:rsidRPr="00223D5E">
              <w:rPr>
                <w:rFonts w:ascii="Times New Roman" w:hAnsi="Times New Roman"/>
                <w:i/>
                <w:iCs/>
                <w:szCs w:val="24"/>
              </w:rPr>
              <w:t>ai fondi per le erogazioni nei settori rilevanti</w:t>
            </w:r>
          </w:p>
        </w:tc>
        <w:tc>
          <w:tcPr>
            <w:tcW w:w="1843" w:type="dxa"/>
            <w:vAlign w:val="center"/>
          </w:tcPr>
          <w:p w:rsidR="000C4C3F" w:rsidRPr="00223D5E" w:rsidRDefault="00684343"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w:t>
            </w:r>
          </w:p>
        </w:tc>
        <w:tc>
          <w:tcPr>
            <w:tcW w:w="1701" w:type="dxa"/>
            <w:vAlign w:val="center"/>
          </w:tcPr>
          <w:p w:rsidR="000C4C3F" w:rsidRPr="00223D5E" w:rsidRDefault="00684343" w:rsidP="000C4C3F">
            <w:pPr>
              <w:jc w:val="right"/>
              <w:rPr>
                <w:rFonts w:ascii="Times New Roman" w:eastAsiaTheme="minorHAnsi" w:hAnsi="Times New Roman"/>
                <w:szCs w:val="24"/>
                <w:lang w:eastAsia="en-US"/>
              </w:rPr>
            </w:pPr>
            <w:r>
              <w:rPr>
                <w:rFonts w:ascii="Times New Roman" w:eastAsiaTheme="minorHAnsi" w:hAnsi="Times New Roman"/>
                <w:szCs w:val="24"/>
                <w:lang w:eastAsia="en-US"/>
              </w:rPr>
              <w:t>-</w:t>
            </w:r>
          </w:p>
        </w:tc>
        <w:tc>
          <w:tcPr>
            <w:tcW w:w="1701" w:type="dxa"/>
            <w:vAlign w:val="center"/>
          </w:tcPr>
          <w:p w:rsidR="000C4C3F" w:rsidRPr="00223D5E" w:rsidRDefault="000C4C3F" w:rsidP="000C4C3F">
            <w:pPr>
              <w:jc w:val="left"/>
              <w:rPr>
                <w:rFonts w:ascii="Times New Roman" w:eastAsiaTheme="minorHAnsi" w:hAnsi="Times New Roman"/>
                <w:i/>
                <w:szCs w:val="24"/>
                <w:lang w:eastAsia="en-US"/>
              </w:rPr>
            </w:pPr>
            <w:r w:rsidRPr="00223D5E">
              <w:rPr>
                <w:rFonts w:ascii="Times New Roman" w:eastAsiaTheme="minorHAnsi" w:hAnsi="Times New Roman"/>
                <w:i/>
                <w:szCs w:val="24"/>
                <w:lang w:eastAsia="en-US"/>
              </w:rPr>
              <w:t>1.000.000</w:t>
            </w:r>
          </w:p>
        </w:tc>
      </w:tr>
      <w:tr w:rsidR="000C4C3F" w:rsidRPr="00E049C0" w:rsidTr="000C4C3F">
        <w:trPr>
          <w:trHeight w:val="510"/>
        </w:trPr>
        <w:tc>
          <w:tcPr>
            <w:tcW w:w="3119" w:type="dxa"/>
            <w:vAlign w:val="center"/>
          </w:tcPr>
          <w:p w:rsidR="000C4C3F" w:rsidRPr="00223D5E" w:rsidRDefault="000C4C3F" w:rsidP="000C4C3F">
            <w:pPr>
              <w:jc w:val="right"/>
              <w:rPr>
                <w:rFonts w:ascii="Times New Roman" w:eastAsiaTheme="minorHAnsi" w:hAnsi="Times New Roman"/>
                <w:bCs/>
                <w:szCs w:val="24"/>
                <w:lang w:eastAsia="en-US"/>
              </w:rPr>
            </w:pPr>
            <w:r w:rsidRPr="00223D5E">
              <w:rPr>
                <w:rFonts w:ascii="Times New Roman" w:hAnsi="Times New Roman"/>
                <w:i/>
                <w:iCs/>
                <w:color w:val="000000"/>
                <w:szCs w:val="24"/>
              </w:rPr>
              <w:t>al fondo nazionale iniziative comuni delle fondazioni</w:t>
            </w:r>
          </w:p>
        </w:tc>
        <w:tc>
          <w:tcPr>
            <w:tcW w:w="1843" w:type="dxa"/>
            <w:vAlign w:val="center"/>
          </w:tcPr>
          <w:p w:rsidR="000C4C3F" w:rsidRPr="00684343" w:rsidRDefault="00B97E55" w:rsidP="000C4C3F">
            <w:pPr>
              <w:jc w:val="right"/>
              <w:rPr>
                <w:rFonts w:ascii="Times New Roman" w:eastAsiaTheme="minorHAnsi" w:hAnsi="Times New Roman"/>
                <w:i/>
                <w:szCs w:val="24"/>
                <w:lang w:eastAsia="en-US"/>
              </w:rPr>
            </w:pPr>
            <w:r>
              <w:rPr>
                <w:rFonts w:ascii="Times New Roman" w:eastAsiaTheme="minorHAnsi" w:hAnsi="Times New Roman"/>
                <w:i/>
                <w:szCs w:val="24"/>
                <w:lang w:eastAsia="en-US"/>
              </w:rPr>
              <w:t>1.5</w:t>
            </w:r>
            <w:r w:rsidR="00E42701">
              <w:rPr>
                <w:rFonts w:ascii="Times New Roman" w:eastAsiaTheme="minorHAnsi" w:hAnsi="Times New Roman"/>
                <w:i/>
                <w:szCs w:val="24"/>
                <w:lang w:eastAsia="en-US"/>
              </w:rPr>
              <w:t>6</w:t>
            </w:r>
            <w:r>
              <w:rPr>
                <w:rFonts w:ascii="Times New Roman" w:eastAsiaTheme="minorHAnsi" w:hAnsi="Times New Roman"/>
                <w:i/>
                <w:szCs w:val="24"/>
                <w:lang w:eastAsia="en-US"/>
              </w:rPr>
              <w:t>2</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1.476</w:t>
            </w:r>
          </w:p>
        </w:tc>
        <w:tc>
          <w:tcPr>
            <w:tcW w:w="1701" w:type="dxa"/>
            <w:vAlign w:val="center"/>
          </w:tcPr>
          <w:p w:rsidR="000C4C3F" w:rsidRPr="00223D5E" w:rsidRDefault="000C4C3F" w:rsidP="000C4C3F">
            <w:pPr>
              <w:jc w:val="left"/>
              <w:rPr>
                <w:rFonts w:ascii="Times New Roman" w:eastAsiaTheme="minorHAnsi" w:hAnsi="Times New Roman"/>
                <w:i/>
                <w:szCs w:val="24"/>
                <w:lang w:eastAsia="en-US"/>
              </w:rPr>
            </w:pPr>
            <w:r w:rsidRPr="00223D5E">
              <w:rPr>
                <w:rFonts w:ascii="Times New Roman" w:eastAsiaTheme="minorHAnsi" w:hAnsi="Times New Roman"/>
                <w:i/>
                <w:szCs w:val="24"/>
                <w:lang w:eastAsia="en-US"/>
              </w:rPr>
              <w:t>4.514</w:t>
            </w:r>
          </w:p>
        </w:tc>
      </w:tr>
      <w:tr w:rsidR="000C4C3F" w:rsidRPr="00E049C0" w:rsidTr="000C4C3F">
        <w:trPr>
          <w:trHeight w:val="510"/>
        </w:trPr>
        <w:tc>
          <w:tcPr>
            <w:tcW w:w="3119" w:type="dxa"/>
            <w:vAlign w:val="center"/>
          </w:tcPr>
          <w:p w:rsidR="000C4C3F" w:rsidRPr="00223D5E" w:rsidRDefault="000C4C3F" w:rsidP="000C4C3F">
            <w:pPr>
              <w:pStyle w:val="Delibera"/>
              <w:spacing w:line="240" w:lineRule="auto"/>
              <w:rPr>
                <w:rFonts w:eastAsiaTheme="minorHAnsi"/>
                <w:bCs/>
                <w:iCs/>
                <w:szCs w:val="24"/>
                <w:lang w:eastAsia="en-US"/>
              </w:rPr>
            </w:pPr>
            <w:r w:rsidRPr="00223D5E">
              <w:rPr>
                <w:rFonts w:eastAsiaTheme="minorHAnsi"/>
                <w:bCs/>
                <w:iCs/>
                <w:szCs w:val="24"/>
                <w:lang w:eastAsia="en-US"/>
              </w:rPr>
              <w:t>Accantonamento alla riserva per l’integrità del patrimonio</w:t>
            </w:r>
          </w:p>
        </w:tc>
        <w:tc>
          <w:tcPr>
            <w:tcW w:w="1843"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0</w:t>
            </w:r>
          </w:p>
        </w:tc>
        <w:tc>
          <w:tcPr>
            <w:tcW w:w="1701" w:type="dxa"/>
            <w:vAlign w:val="center"/>
          </w:tcPr>
          <w:p w:rsidR="000C4C3F" w:rsidRPr="00223D5E" w:rsidRDefault="000C4C3F" w:rsidP="000C4C3F">
            <w:pPr>
              <w:jc w:val="right"/>
              <w:rPr>
                <w:rFonts w:ascii="Times New Roman" w:eastAsiaTheme="minorHAnsi" w:hAnsi="Times New Roman"/>
                <w:szCs w:val="24"/>
                <w:lang w:eastAsia="en-US"/>
              </w:rPr>
            </w:pPr>
            <w:r w:rsidRPr="00223D5E">
              <w:rPr>
                <w:rFonts w:ascii="Times New Roman" w:eastAsiaTheme="minorHAnsi" w:hAnsi="Times New Roman"/>
                <w:szCs w:val="24"/>
                <w:lang w:eastAsia="en-US"/>
              </w:rPr>
              <w:t>0</w:t>
            </w:r>
          </w:p>
        </w:tc>
        <w:tc>
          <w:tcPr>
            <w:tcW w:w="1701" w:type="dxa"/>
            <w:vAlign w:val="center"/>
          </w:tcPr>
          <w:p w:rsidR="000C4C3F" w:rsidRPr="00223D5E" w:rsidRDefault="000C4C3F" w:rsidP="000C4C3F">
            <w:pPr>
              <w:jc w:val="right"/>
              <w:rPr>
                <w:rFonts w:ascii="Times New Roman" w:eastAsiaTheme="minorHAnsi" w:hAnsi="Times New Roman"/>
                <w:i/>
                <w:szCs w:val="24"/>
                <w:lang w:eastAsia="en-US"/>
              </w:rPr>
            </w:pPr>
            <w:r w:rsidRPr="00223D5E">
              <w:rPr>
                <w:rFonts w:ascii="Times New Roman" w:eastAsiaTheme="minorHAnsi" w:hAnsi="Times New Roman"/>
                <w:i/>
                <w:szCs w:val="24"/>
                <w:lang w:eastAsia="en-US"/>
              </w:rPr>
              <w:t>0</w:t>
            </w:r>
          </w:p>
        </w:tc>
      </w:tr>
      <w:tr w:rsidR="000C4C3F" w:rsidRPr="007E6FDF" w:rsidTr="000C4C3F">
        <w:trPr>
          <w:trHeight w:val="588"/>
        </w:trPr>
        <w:tc>
          <w:tcPr>
            <w:tcW w:w="3119" w:type="dxa"/>
            <w:vAlign w:val="center"/>
          </w:tcPr>
          <w:p w:rsidR="000C4C3F" w:rsidRPr="007E6FDF" w:rsidRDefault="000C4C3F" w:rsidP="000C4C3F">
            <w:pPr>
              <w:rPr>
                <w:rFonts w:ascii="Times New Roman" w:eastAsiaTheme="minorHAnsi" w:hAnsi="Times New Roman"/>
                <w:bCs/>
                <w:szCs w:val="24"/>
                <w:lang w:eastAsia="en-US"/>
              </w:rPr>
            </w:pPr>
            <w:r w:rsidRPr="007E6FDF">
              <w:rPr>
                <w:rFonts w:ascii="Times New Roman" w:eastAsiaTheme="minorHAnsi" w:hAnsi="Times New Roman"/>
                <w:bCs/>
                <w:szCs w:val="24"/>
                <w:lang w:eastAsia="en-US"/>
              </w:rPr>
              <w:t xml:space="preserve">TOTALE </w:t>
            </w:r>
          </w:p>
        </w:tc>
        <w:tc>
          <w:tcPr>
            <w:tcW w:w="1843" w:type="dxa"/>
            <w:vAlign w:val="center"/>
          </w:tcPr>
          <w:p w:rsidR="000C4C3F" w:rsidRPr="007E6FDF" w:rsidRDefault="00B97E55" w:rsidP="000C4C3F">
            <w:pPr>
              <w:jc w:val="right"/>
              <w:rPr>
                <w:rFonts w:ascii="Times New Roman" w:eastAsiaTheme="minorHAnsi" w:hAnsi="Times New Roman"/>
                <w:b/>
                <w:szCs w:val="24"/>
                <w:lang w:eastAsia="en-US"/>
              </w:rPr>
            </w:pPr>
            <w:r>
              <w:rPr>
                <w:rFonts w:ascii="Times New Roman" w:hAnsi="Times New Roman"/>
                <w:b/>
                <w:szCs w:val="24"/>
                <w:lang w:eastAsia="en-US"/>
              </w:rPr>
              <w:t>867.500</w:t>
            </w:r>
          </w:p>
        </w:tc>
        <w:tc>
          <w:tcPr>
            <w:tcW w:w="1701" w:type="dxa"/>
            <w:vAlign w:val="center"/>
          </w:tcPr>
          <w:p w:rsidR="000C4C3F" w:rsidRPr="00E42701" w:rsidRDefault="000C4C3F" w:rsidP="000C4C3F">
            <w:pPr>
              <w:jc w:val="right"/>
              <w:rPr>
                <w:rFonts w:ascii="Times New Roman" w:eastAsiaTheme="minorHAnsi" w:hAnsi="Times New Roman"/>
                <w:szCs w:val="24"/>
                <w:lang w:eastAsia="en-US"/>
              </w:rPr>
            </w:pPr>
            <w:r w:rsidRPr="00E42701">
              <w:rPr>
                <w:rFonts w:ascii="Times New Roman" w:eastAsiaTheme="minorHAnsi" w:hAnsi="Times New Roman"/>
                <w:szCs w:val="24"/>
                <w:lang w:eastAsia="en-US"/>
              </w:rPr>
              <w:t>820.000</w:t>
            </w:r>
          </w:p>
        </w:tc>
        <w:tc>
          <w:tcPr>
            <w:tcW w:w="1701" w:type="dxa"/>
            <w:vAlign w:val="center"/>
          </w:tcPr>
          <w:p w:rsidR="000C4C3F" w:rsidRPr="00E42701" w:rsidRDefault="000C4C3F" w:rsidP="000C4C3F">
            <w:pPr>
              <w:jc w:val="right"/>
              <w:rPr>
                <w:rFonts w:ascii="Times New Roman" w:eastAsiaTheme="minorHAnsi" w:hAnsi="Times New Roman"/>
                <w:i/>
                <w:szCs w:val="24"/>
                <w:lang w:eastAsia="en-US"/>
              </w:rPr>
            </w:pPr>
            <w:r w:rsidRPr="00E42701">
              <w:rPr>
                <w:rFonts w:ascii="Times New Roman" w:hAnsi="Times New Roman"/>
                <w:bCs/>
                <w:i/>
                <w:color w:val="000000"/>
                <w:szCs w:val="24"/>
              </w:rPr>
              <w:t>2.830.973</w:t>
            </w:r>
          </w:p>
        </w:tc>
      </w:tr>
    </w:tbl>
    <w:p w:rsidR="00E35C9A" w:rsidRDefault="00E35C9A" w:rsidP="008E72C9">
      <w:pPr>
        <w:rPr>
          <w:rFonts w:ascii="Times New Roman" w:hAnsi="Times New Roman"/>
        </w:rPr>
      </w:pPr>
    </w:p>
    <w:p w:rsidR="00EB3093" w:rsidRDefault="00EB3093" w:rsidP="008E72C9">
      <w:pPr>
        <w:rPr>
          <w:rFonts w:ascii="Times New Roman" w:hAnsi="Times New Roman"/>
        </w:rPr>
      </w:pPr>
    </w:p>
    <w:p w:rsidR="00EB3093" w:rsidRDefault="00EB3093" w:rsidP="008E72C9">
      <w:pPr>
        <w:rPr>
          <w:rFonts w:ascii="Times New Roman" w:hAnsi="Times New Roman"/>
        </w:rPr>
      </w:pPr>
    </w:p>
    <w:p w:rsidR="00130362" w:rsidRDefault="00130362" w:rsidP="008E72C9">
      <w:pPr>
        <w:rPr>
          <w:rFonts w:ascii="Times New Roman" w:hAnsi="Times New Roman"/>
        </w:rPr>
      </w:pPr>
    </w:p>
    <w:p w:rsidR="0066346B" w:rsidRDefault="0066346B" w:rsidP="008E72C9">
      <w:pPr>
        <w:rPr>
          <w:rFonts w:ascii="Times New Roman" w:hAnsi="Times New Roman"/>
        </w:rPr>
      </w:pPr>
    </w:p>
    <w:p w:rsidR="0066346B" w:rsidRDefault="0066346B" w:rsidP="008E72C9">
      <w:pPr>
        <w:rPr>
          <w:rFonts w:ascii="Times New Roman" w:hAnsi="Times New Roman"/>
        </w:rPr>
      </w:pPr>
    </w:p>
    <w:p w:rsidR="00130362" w:rsidRDefault="00130362" w:rsidP="008E72C9">
      <w:pPr>
        <w:rPr>
          <w:rFonts w:ascii="Times New Roman" w:hAnsi="Times New Roman"/>
        </w:rPr>
      </w:pPr>
    </w:p>
    <w:p w:rsidR="00532116" w:rsidRPr="00532116" w:rsidRDefault="00532116" w:rsidP="008E72C9">
      <w:pPr>
        <w:rPr>
          <w:rFonts w:ascii="Times New Roman" w:hAnsi="Times New Roman"/>
          <w:b/>
        </w:rPr>
      </w:pPr>
      <w:r w:rsidRPr="00532116">
        <w:rPr>
          <w:rFonts w:ascii="Times New Roman" w:hAnsi="Times New Roman"/>
          <w:b/>
        </w:rPr>
        <w:t xml:space="preserve">FONDI ATTIVITA’ ISTITUZIONALI </w:t>
      </w:r>
    </w:p>
    <w:p w:rsidR="00177FA0" w:rsidRDefault="00E35C9A" w:rsidP="008E72C9">
      <w:pPr>
        <w:rPr>
          <w:rFonts w:ascii="Times New Roman" w:hAnsi="Times New Roman"/>
        </w:rPr>
      </w:pPr>
      <w:r>
        <w:rPr>
          <w:rFonts w:ascii="Times New Roman" w:hAnsi="Times New Roman"/>
        </w:rPr>
        <w:t xml:space="preserve">Nel </w:t>
      </w:r>
      <w:r w:rsidRPr="00E35C9A">
        <w:rPr>
          <w:rFonts w:ascii="Times New Roman" w:hAnsi="Times New Roman"/>
        </w:rPr>
        <w:t>P</w:t>
      </w:r>
      <w:r w:rsidR="007726AA">
        <w:rPr>
          <w:rFonts w:ascii="Times New Roman" w:hAnsi="Times New Roman"/>
        </w:rPr>
        <w:t xml:space="preserve">iano di Programmazione </w:t>
      </w:r>
      <w:proofErr w:type="gramStart"/>
      <w:r w:rsidR="007726AA">
        <w:rPr>
          <w:rFonts w:ascii="Times New Roman" w:hAnsi="Times New Roman"/>
        </w:rPr>
        <w:t xml:space="preserve">Pluriennale </w:t>
      </w:r>
      <w:r w:rsidRPr="00E35C9A">
        <w:rPr>
          <w:rFonts w:ascii="Times New Roman" w:hAnsi="Times New Roman"/>
        </w:rPr>
        <w:t xml:space="preserve"> 2019</w:t>
      </w:r>
      <w:proofErr w:type="gramEnd"/>
      <w:r w:rsidRPr="00E35C9A">
        <w:rPr>
          <w:rFonts w:ascii="Times New Roman" w:hAnsi="Times New Roman"/>
        </w:rPr>
        <w:t>/2021</w:t>
      </w:r>
      <w:r w:rsidRPr="00E35C9A">
        <w:rPr>
          <w:rFonts w:ascii="Times New Roman" w:hAnsi="Times New Roman"/>
          <w:vertAlign w:val="superscript"/>
        </w:rPr>
        <w:t xml:space="preserve"> </w:t>
      </w:r>
      <w:r>
        <w:rPr>
          <w:rFonts w:ascii="Times New Roman" w:hAnsi="Times New Roman"/>
        </w:rPr>
        <w:t>è</w:t>
      </w:r>
      <w:r w:rsidR="00C5362A">
        <w:rPr>
          <w:rFonts w:ascii="Times New Roman" w:hAnsi="Times New Roman"/>
        </w:rPr>
        <w:t xml:space="preserve"> previsto l’utilizzo del Fondo</w:t>
      </w:r>
      <w:r w:rsidR="001978E4" w:rsidRPr="001978E4">
        <w:rPr>
          <w:rFonts w:ascii="Times New Roman" w:hAnsi="Times New Roman"/>
        </w:rPr>
        <w:t xml:space="preserve"> attività </w:t>
      </w:r>
      <w:r w:rsidR="00532116">
        <w:rPr>
          <w:rFonts w:ascii="Times New Roman" w:hAnsi="Times New Roman"/>
        </w:rPr>
        <w:t xml:space="preserve"> istituzionali </w:t>
      </w:r>
      <w:r w:rsidR="001978E4" w:rsidRPr="001978E4">
        <w:rPr>
          <w:rFonts w:ascii="Times New Roman" w:hAnsi="Times New Roman"/>
        </w:rPr>
        <w:t>per</w:t>
      </w:r>
      <w:r>
        <w:rPr>
          <w:rFonts w:ascii="Times New Roman" w:hAnsi="Times New Roman"/>
        </w:rPr>
        <w:t xml:space="preserve"> un totale di €</w:t>
      </w:r>
      <w:r w:rsidR="003232DD">
        <w:rPr>
          <w:rFonts w:ascii="Times New Roman" w:hAnsi="Times New Roman"/>
        </w:rPr>
        <w:t xml:space="preserve"> </w:t>
      </w:r>
      <w:r w:rsidR="0066346B">
        <w:rPr>
          <w:rFonts w:ascii="Times New Roman" w:hAnsi="Times New Roman"/>
        </w:rPr>
        <w:t>2</w:t>
      </w:r>
      <w:r w:rsidR="003232DD">
        <w:rPr>
          <w:rFonts w:ascii="Times New Roman" w:hAnsi="Times New Roman"/>
        </w:rPr>
        <w:t>.</w:t>
      </w:r>
      <w:r w:rsidR="0066346B">
        <w:rPr>
          <w:rFonts w:ascii="Times New Roman" w:hAnsi="Times New Roman"/>
        </w:rPr>
        <w:t>8</w:t>
      </w:r>
      <w:r w:rsidR="003232DD">
        <w:rPr>
          <w:rFonts w:ascii="Times New Roman" w:hAnsi="Times New Roman"/>
        </w:rPr>
        <w:t>00</w:t>
      </w:r>
      <w:r>
        <w:rPr>
          <w:rFonts w:ascii="Times New Roman" w:hAnsi="Times New Roman"/>
        </w:rPr>
        <w:t xml:space="preserve">.000 nel triennio </w:t>
      </w:r>
      <w:r w:rsidR="004F36B4">
        <w:rPr>
          <w:rFonts w:ascii="Times New Roman" w:hAnsi="Times New Roman"/>
        </w:rPr>
        <w:t xml:space="preserve"> di cui € 1.800.000 in via ordinaria e  1.000.000  come ulteriore integrazione.</w:t>
      </w:r>
    </w:p>
    <w:p w:rsidR="00B56053" w:rsidRDefault="00B56053" w:rsidP="00B56053">
      <w:pPr>
        <w:ind w:left="284" w:hanging="284"/>
        <w:rPr>
          <w:rFonts w:ascii="Times New Roman" w:hAnsi="Times New Roman"/>
          <w:vertAlign w:val="superscript"/>
        </w:rPr>
      </w:pPr>
    </w:p>
    <w:p w:rsidR="00B56053" w:rsidRPr="00E04664" w:rsidRDefault="007726AA" w:rsidP="00B56053">
      <w:pPr>
        <w:tabs>
          <w:tab w:val="clear" w:pos="567"/>
        </w:tabs>
        <w:rPr>
          <w:rFonts w:ascii="Times New Roman" w:hAnsi="Times New Roman"/>
        </w:rPr>
      </w:pPr>
      <w:r w:rsidRPr="00E04664">
        <w:rPr>
          <w:rFonts w:ascii="Times New Roman" w:hAnsi="Times New Roman"/>
        </w:rPr>
        <w:t>Il Piano</w:t>
      </w:r>
      <w:r w:rsidR="00B56053" w:rsidRPr="00E04664">
        <w:rPr>
          <w:rFonts w:ascii="Times New Roman" w:hAnsi="Times New Roman"/>
        </w:rPr>
        <w:t xml:space="preserve"> stabilisce </w:t>
      </w:r>
      <w:r w:rsidR="00C5362A">
        <w:rPr>
          <w:rFonts w:ascii="Times New Roman" w:hAnsi="Times New Roman"/>
        </w:rPr>
        <w:t xml:space="preserve">altresì </w:t>
      </w:r>
      <w:proofErr w:type="gramStart"/>
      <w:r w:rsidR="00B56053" w:rsidRPr="00E04664">
        <w:rPr>
          <w:rFonts w:ascii="Times New Roman" w:hAnsi="Times New Roman"/>
        </w:rPr>
        <w:t>che  l’ammontare</w:t>
      </w:r>
      <w:proofErr w:type="gramEnd"/>
      <w:r w:rsidR="00B56053" w:rsidRPr="00E04664">
        <w:rPr>
          <w:rFonts w:ascii="Times New Roman" w:hAnsi="Times New Roman"/>
        </w:rPr>
        <w:t xml:space="preserve"> delle risorse destinate all’attività erogativa viene    determinato per</w:t>
      </w:r>
      <w:r w:rsidR="00C5362A">
        <w:rPr>
          <w:rFonts w:ascii="Times New Roman" w:hAnsi="Times New Roman"/>
        </w:rPr>
        <w:t xml:space="preserve"> ciascun anno</w:t>
      </w:r>
      <w:r w:rsidRPr="00E04664">
        <w:rPr>
          <w:rFonts w:ascii="Times New Roman" w:hAnsi="Times New Roman"/>
        </w:rPr>
        <w:t xml:space="preserve">  sulla base dell’avanzo </w:t>
      </w:r>
      <w:r w:rsidR="00B56053" w:rsidRPr="00E04664">
        <w:rPr>
          <w:rFonts w:ascii="Times New Roman" w:hAnsi="Times New Roman"/>
        </w:rPr>
        <w:t>prodotto</w:t>
      </w:r>
      <w:r w:rsidRPr="00E04664">
        <w:rPr>
          <w:rFonts w:ascii="Times New Roman" w:hAnsi="Times New Roman"/>
        </w:rPr>
        <w:t xml:space="preserve"> e</w:t>
      </w:r>
      <w:r w:rsidR="00796275" w:rsidRPr="00E04664">
        <w:rPr>
          <w:rFonts w:ascii="Times New Roman" w:hAnsi="Times New Roman"/>
          <w:szCs w:val="24"/>
        </w:rPr>
        <w:t xml:space="preserve"> accantonato al Fondo interventi istituzionali</w:t>
      </w:r>
      <w:r w:rsidR="00796275" w:rsidRPr="00E04664">
        <w:rPr>
          <w:rFonts w:ascii="Times New Roman" w:hAnsi="Times New Roman"/>
        </w:rPr>
        <w:t xml:space="preserve"> </w:t>
      </w:r>
      <w:r w:rsidRPr="00E04664">
        <w:rPr>
          <w:rFonts w:ascii="Times New Roman" w:hAnsi="Times New Roman"/>
        </w:rPr>
        <w:t xml:space="preserve">  de</w:t>
      </w:r>
      <w:r w:rsidR="00B56053" w:rsidRPr="00E04664">
        <w:rPr>
          <w:rFonts w:ascii="Times New Roman" w:hAnsi="Times New Roman"/>
        </w:rPr>
        <w:t xml:space="preserve">ll’esercizio precedente. </w:t>
      </w:r>
    </w:p>
    <w:p w:rsidR="009B771F" w:rsidRPr="00E04664" w:rsidRDefault="009B771F" w:rsidP="008E72C9">
      <w:pPr>
        <w:rPr>
          <w:rFonts w:ascii="Times New Roman" w:hAnsi="Times New Roman"/>
        </w:rPr>
      </w:pPr>
    </w:p>
    <w:p w:rsidR="00532116" w:rsidRPr="0066346B" w:rsidRDefault="009B771F" w:rsidP="00532116">
      <w:pPr>
        <w:pStyle w:val="Standard"/>
        <w:spacing w:after="0" w:line="240" w:lineRule="auto"/>
        <w:jc w:val="both"/>
        <w:rPr>
          <w:rFonts w:ascii="Times New Roman" w:hAnsi="Times New Roman"/>
          <w:sz w:val="24"/>
          <w:szCs w:val="24"/>
        </w:rPr>
      </w:pPr>
      <w:r w:rsidRPr="00E04664">
        <w:rPr>
          <w:rFonts w:ascii="Times New Roman" w:hAnsi="Times New Roman"/>
          <w:sz w:val="24"/>
          <w:szCs w:val="24"/>
        </w:rPr>
        <w:t>Considerate le pro</w:t>
      </w:r>
      <w:r w:rsidR="00732636" w:rsidRPr="00E04664">
        <w:rPr>
          <w:rFonts w:ascii="Times New Roman" w:hAnsi="Times New Roman"/>
          <w:sz w:val="24"/>
          <w:szCs w:val="24"/>
        </w:rPr>
        <w:t>i</w:t>
      </w:r>
      <w:r w:rsidRPr="00E04664">
        <w:rPr>
          <w:rFonts w:ascii="Times New Roman" w:hAnsi="Times New Roman"/>
          <w:sz w:val="24"/>
          <w:szCs w:val="24"/>
        </w:rPr>
        <w:t xml:space="preserve">ezioni </w:t>
      </w:r>
      <w:r w:rsidR="00732636" w:rsidRPr="00E04664">
        <w:rPr>
          <w:rFonts w:ascii="Times New Roman" w:hAnsi="Times New Roman"/>
          <w:sz w:val="24"/>
          <w:szCs w:val="24"/>
        </w:rPr>
        <w:t xml:space="preserve">dei conti </w:t>
      </w:r>
      <w:r w:rsidRPr="00E04664">
        <w:rPr>
          <w:rFonts w:ascii="Times New Roman" w:hAnsi="Times New Roman"/>
          <w:sz w:val="24"/>
          <w:szCs w:val="24"/>
        </w:rPr>
        <w:t>al 31/12/</w:t>
      </w:r>
      <w:proofErr w:type="gramStart"/>
      <w:r w:rsidRPr="00E04664">
        <w:rPr>
          <w:rFonts w:ascii="Times New Roman" w:hAnsi="Times New Roman"/>
          <w:sz w:val="24"/>
          <w:szCs w:val="24"/>
        </w:rPr>
        <w:t>20</w:t>
      </w:r>
      <w:r w:rsidR="00EB3093">
        <w:rPr>
          <w:rFonts w:ascii="Times New Roman" w:hAnsi="Times New Roman"/>
          <w:sz w:val="24"/>
          <w:szCs w:val="24"/>
        </w:rPr>
        <w:t>20</w:t>
      </w:r>
      <w:r w:rsidR="00796275" w:rsidRPr="00E04664">
        <w:rPr>
          <w:rFonts w:ascii="Times New Roman" w:hAnsi="Times New Roman"/>
          <w:sz w:val="24"/>
          <w:szCs w:val="24"/>
        </w:rPr>
        <w:t xml:space="preserve">, </w:t>
      </w:r>
      <w:r w:rsidR="00732636" w:rsidRPr="00E04664">
        <w:rPr>
          <w:rFonts w:ascii="Times New Roman" w:hAnsi="Times New Roman"/>
          <w:sz w:val="24"/>
          <w:szCs w:val="24"/>
        </w:rPr>
        <w:t xml:space="preserve"> n</w:t>
      </w:r>
      <w:r w:rsidR="00177FA0" w:rsidRPr="00E04664">
        <w:rPr>
          <w:rFonts w:ascii="Times New Roman" w:hAnsi="Times New Roman"/>
          <w:sz w:val="24"/>
          <w:szCs w:val="24"/>
        </w:rPr>
        <w:t>el</w:t>
      </w:r>
      <w:proofErr w:type="gramEnd"/>
      <w:r w:rsidR="00177FA0" w:rsidRPr="00E04664">
        <w:rPr>
          <w:rFonts w:ascii="Times New Roman" w:hAnsi="Times New Roman"/>
          <w:sz w:val="24"/>
          <w:szCs w:val="24"/>
        </w:rPr>
        <w:t xml:space="preserve"> rispetto del criterio di sostenibilità</w:t>
      </w:r>
      <w:r w:rsidR="00532116" w:rsidRPr="00E04664">
        <w:rPr>
          <w:rFonts w:ascii="Times New Roman" w:hAnsi="Times New Roman"/>
          <w:sz w:val="24"/>
          <w:szCs w:val="24"/>
        </w:rPr>
        <w:t xml:space="preserve"> che l’E</w:t>
      </w:r>
      <w:r w:rsidR="00732636" w:rsidRPr="00E04664">
        <w:rPr>
          <w:rFonts w:ascii="Times New Roman" w:hAnsi="Times New Roman"/>
          <w:sz w:val="24"/>
          <w:szCs w:val="24"/>
        </w:rPr>
        <w:t>nte adotta nella programmazione dei propri interventi istituzionali</w:t>
      </w:r>
      <w:r w:rsidR="000F6126" w:rsidRPr="00E04664">
        <w:rPr>
          <w:rFonts w:ascii="Times New Roman" w:hAnsi="Times New Roman"/>
          <w:sz w:val="24"/>
          <w:szCs w:val="24"/>
        </w:rPr>
        <w:t xml:space="preserve"> ed al fine del </w:t>
      </w:r>
      <w:r w:rsidR="000F6126" w:rsidRPr="0066346B">
        <w:rPr>
          <w:rFonts w:ascii="Times New Roman" w:hAnsi="Times New Roman"/>
          <w:sz w:val="24"/>
          <w:szCs w:val="24"/>
        </w:rPr>
        <w:t>mantenimento dell’equilibrio patrimoniale</w:t>
      </w:r>
      <w:r w:rsidR="00732636" w:rsidRPr="0066346B">
        <w:rPr>
          <w:rFonts w:ascii="Times New Roman" w:hAnsi="Times New Roman"/>
          <w:sz w:val="24"/>
          <w:szCs w:val="24"/>
        </w:rPr>
        <w:t>,</w:t>
      </w:r>
      <w:r w:rsidR="000F6126" w:rsidRPr="0066346B">
        <w:rPr>
          <w:rFonts w:ascii="Times New Roman" w:hAnsi="Times New Roman"/>
          <w:sz w:val="24"/>
          <w:szCs w:val="24"/>
        </w:rPr>
        <w:t xml:space="preserve"> </w:t>
      </w:r>
      <w:r w:rsidR="00732636" w:rsidRPr="0066346B">
        <w:rPr>
          <w:rFonts w:ascii="Times New Roman" w:hAnsi="Times New Roman"/>
          <w:sz w:val="24"/>
          <w:szCs w:val="24"/>
        </w:rPr>
        <w:t xml:space="preserve"> </w:t>
      </w:r>
      <w:r w:rsidR="00177FA0" w:rsidRPr="0066346B">
        <w:rPr>
          <w:rFonts w:ascii="Times New Roman" w:hAnsi="Times New Roman"/>
          <w:sz w:val="24"/>
          <w:szCs w:val="24"/>
        </w:rPr>
        <w:t xml:space="preserve"> si ritiene di</w:t>
      </w:r>
      <w:r w:rsidR="00796275" w:rsidRPr="0066346B">
        <w:rPr>
          <w:rFonts w:ascii="Times New Roman" w:hAnsi="Times New Roman"/>
          <w:sz w:val="24"/>
          <w:szCs w:val="24"/>
        </w:rPr>
        <w:t xml:space="preserve"> </w:t>
      </w:r>
      <w:r w:rsidR="00C5362A" w:rsidRPr="0066346B">
        <w:rPr>
          <w:rFonts w:ascii="Times New Roman" w:hAnsi="Times New Roman"/>
          <w:sz w:val="24"/>
          <w:szCs w:val="24"/>
        </w:rPr>
        <w:t>destinare al</w:t>
      </w:r>
      <w:r w:rsidR="00796275" w:rsidRPr="0066346B">
        <w:rPr>
          <w:rFonts w:ascii="Times New Roman" w:hAnsi="Times New Roman"/>
          <w:sz w:val="24"/>
          <w:szCs w:val="24"/>
        </w:rPr>
        <w:t>l’attività erogativa</w:t>
      </w:r>
      <w:r w:rsidR="00177FA0" w:rsidRPr="0066346B">
        <w:rPr>
          <w:rFonts w:ascii="Times New Roman" w:hAnsi="Times New Roman"/>
          <w:sz w:val="24"/>
          <w:szCs w:val="24"/>
        </w:rPr>
        <w:t xml:space="preserve"> </w:t>
      </w:r>
      <w:r w:rsidR="00796275" w:rsidRPr="0066346B">
        <w:rPr>
          <w:rFonts w:ascii="Times New Roman" w:hAnsi="Times New Roman"/>
          <w:sz w:val="24"/>
          <w:szCs w:val="24"/>
        </w:rPr>
        <w:t xml:space="preserve"> </w:t>
      </w:r>
      <w:r w:rsidR="00C5362A" w:rsidRPr="0066346B">
        <w:rPr>
          <w:rFonts w:ascii="Times New Roman" w:hAnsi="Times New Roman"/>
          <w:sz w:val="24"/>
          <w:szCs w:val="24"/>
        </w:rPr>
        <w:t>dell’</w:t>
      </w:r>
      <w:r w:rsidR="00B56053" w:rsidRPr="0066346B">
        <w:rPr>
          <w:rFonts w:ascii="Times New Roman" w:hAnsi="Times New Roman"/>
          <w:sz w:val="24"/>
          <w:szCs w:val="24"/>
        </w:rPr>
        <w:t>esercizio 202</w:t>
      </w:r>
      <w:r w:rsidR="00EB3093" w:rsidRPr="0066346B">
        <w:rPr>
          <w:rFonts w:ascii="Times New Roman" w:hAnsi="Times New Roman"/>
          <w:sz w:val="24"/>
          <w:szCs w:val="24"/>
        </w:rPr>
        <w:t>1</w:t>
      </w:r>
      <w:r w:rsidR="00B56053" w:rsidRPr="0066346B">
        <w:rPr>
          <w:rFonts w:ascii="Times New Roman" w:hAnsi="Times New Roman"/>
          <w:sz w:val="24"/>
          <w:szCs w:val="24"/>
        </w:rPr>
        <w:t xml:space="preserve"> </w:t>
      </w:r>
      <w:r w:rsidR="00796275" w:rsidRPr="0066346B">
        <w:rPr>
          <w:rFonts w:ascii="Times New Roman" w:hAnsi="Times New Roman"/>
          <w:sz w:val="24"/>
          <w:szCs w:val="24"/>
        </w:rPr>
        <w:t xml:space="preserve"> l’importo </w:t>
      </w:r>
      <w:r w:rsidR="00C5362A" w:rsidRPr="0066346B">
        <w:rPr>
          <w:rFonts w:ascii="Times New Roman" w:hAnsi="Times New Roman"/>
          <w:sz w:val="24"/>
          <w:szCs w:val="24"/>
        </w:rPr>
        <w:t>dell’</w:t>
      </w:r>
      <w:r w:rsidR="00796275" w:rsidRPr="0066346B">
        <w:rPr>
          <w:rFonts w:ascii="Times New Roman" w:hAnsi="Times New Roman"/>
          <w:sz w:val="24"/>
          <w:szCs w:val="24"/>
        </w:rPr>
        <w:t xml:space="preserve"> accantona</w:t>
      </w:r>
      <w:r w:rsidR="000F6126" w:rsidRPr="0066346B">
        <w:rPr>
          <w:rFonts w:ascii="Times New Roman" w:hAnsi="Times New Roman"/>
          <w:sz w:val="24"/>
          <w:szCs w:val="24"/>
        </w:rPr>
        <w:t xml:space="preserve">mento </w:t>
      </w:r>
      <w:r w:rsidR="00796275" w:rsidRPr="0066346B">
        <w:rPr>
          <w:rFonts w:ascii="Times New Roman" w:hAnsi="Times New Roman"/>
          <w:sz w:val="24"/>
          <w:szCs w:val="24"/>
        </w:rPr>
        <w:t>al Fondo interventi istituzionali</w:t>
      </w:r>
      <w:r w:rsidR="00C5362A" w:rsidRPr="0066346B">
        <w:rPr>
          <w:rFonts w:ascii="Times New Roman" w:hAnsi="Times New Roman"/>
          <w:sz w:val="24"/>
          <w:szCs w:val="24"/>
        </w:rPr>
        <w:t xml:space="preserve"> previsto </w:t>
      </w:r>
      <w:r w:rsidR="00796275" w:rsidRPr="0066346B">
        <w:rPr>
          <w:rFonts w:ascii="Times New Roman" w:hAnsi="Times New Roman"/>
          <w:sz w:val="24"/>
          <w:szCs w:val="24"/>
        </w:rPr>
        <w:t xml:space="preserve">nell’ </w:t>
      </w:r>
      <w:r w:rsidR="00732636" w:rsidRPr="0066346B">
        <w:rPr>
          <w:rFonts w:ascii="Times New Roman" w:hAnsi="Times New Roman"/>
          <w:sz w:val="24"/>
          <w:szCs w:val="24"/>
        </w:rPr>
        <w:t xml:space="preserve">esercizio </w:t>
      </w:r>
      <w:r w:rsidR="002C60D6" w:rsidRPr="0066346B">
        <w:rPr>
          <w:rFonts w:ascii="Times New Roman" w:hAnsi="Times New Roman"/>
          <w:sz w:val="24"/>
          <w:szCs w:val="24"/>
        </w:rPr>
        <w:t xml:space="preserve">stesso </w:t>
      </w:r>
      <w:r w:rsidR="00532116" w:rsidRPr="0066346B">
        <w:rPr>
          <w:rFonts w:ascii="Times New Roman" w:hAnsi="Times New Roman"/>
          <w:sz w:val="24"/>
          <w:szCs w:val="24"/>
        </w:rPr>
        <w:t xml:space="preserve"> </w:t>
      </w:r>
      <w:r w:rsidR="000F6126" w:rsidRPr="0066346B">
        <w:rPr>
          <w:rFonts w:ascii="Times New Roman" w:hAnsi="Times New Roman"/>
          <w:sz w:val="24"/>
          <w:szCs w:val="24"/>
        </w:rPr>
        <w:t xml:space="preserve">e </w:t>
      </w:r>
      <w:r w:rsidR="00532116" w:rsidRPr="0066346B">
        <w:rPr>
          <w:rFonts w:ascii="Times New Roman" w:hAnsi="Times New Roman"/>
          <w:sz w:val="24"/>
          <w:szCs w:val="24"/>
        </w:rPr>
        <w:t xml:space="preserve">che risulta </w:t>
      </w:r>
      <w:r w:rsidR="00732636" w:rsidRPr="0066346B">
        <w:rPr>
          <w:rFonts w:ascii="Times New Roman" w:hAnsi="Times New Roman"/>
          <w:sz w:val="24"/>
          <w:szCs w:val="24"/>
        </w:rPr>
        <w:t xml:space="preserve"> pari </w:t>
      </w:r>
      <w:r w:rsidR="00532116" w:rsidRPr="0066346B">
        <w:rPr>
          <w:rFonts w:ascii="Times New Roman" w:hAnsi="Times New Roman"/>
          <w:sz w:val="24"/>
          <w:szCs w:val="24"/>
        </w:rPr>
        <w:t xml:space="preserve"> a </w:t>
      </w:r>
      <w:r w:rsidR="00732636" w:rsidRPr="0066346B">
        <w:rPr>
          <w:rFonts w:ascii="Times New Roman" w:hAnsi="Times New Roman"/>
          <w:b/>
          <w:sz w:val="24"/>
          <w:szCs w:val="24"/>
        </w:rPr>
        <w:t xml:space="preserve">€ </w:t>
      </w:r>
      <w:r w:rsidR="00532116" w:rsidRPr="0066346B">
        <w:rPr>
          <w:rFonts w:ascii="Times New Roman" w:hAnsi="Times New Roman"/>
          <w:sz w:val="24"/>
          <w:szCs w:val="24"/>
        </w:rPr>
        <w:t xml:space="preserve"> </w:t>
      </w:r>
      <w:r w:rsidR="00D704BA" w:rsidRPr="0066346B">
        <w:rPr>
          <w:rFonts w:ascii="Times New Roman" w:hAnsi="Times New Roman"/>
          <w:b/>
          <w:sz w:val="24"/>
          <w:szCs w:val="24"/>
        </w:rPr>
        <w:t>150.</w:t>
      </w:r>
      <w:r w:rsidR="00D34392" w:rsidRPr="0066346B">
        <w:rPr>
          <w:rFonts w:ascii="Times New Roman" w:hAnsi="Times New Roman"/>
          <w:b/>
          <w:sz w:val="24"/>
          <w:szCs w:val="24"/>
        </w:rPr>
        <w:t>5</w:t>
      </w:r>
      <w:r w:rsidR="00D704BA" w:rsidRPr="0066346B">
        <w:rPr>
          <w:rFonts w:ascii="Times New Roman" w:hAnsi="Times New Roman"/>
          <w:b/>
          <w:sz w:val="24"/>
          <w:szCs w:val="24"/>
        </w:rPr>
        <w:t>10.</w:t>
      </w:r>
    </w:p>
    <w:p w:rsidR="00B56053" w:rsidRPr="00E04664" w:rsidRDefault="00B56053" w:rsidP="00532116">
      <w:pPr>
        <w:pStyle w:val="Standard"/>
        <w:spacing w:after="0" w:line="240" w:lineRule="auto"/>
        <w:jc w:val="both"/>
        <w:rPr>
          <w:rFonts w:ascii="Times New Roman" w:hAnsi="Times New Roman"/>
          <w:sz w:val="24"/>
          <w:szCs w:val="24"/>
        </w:rPr>
      </w:pPr>
    </w:p>
    <w:p w:rsidR="0066346B" w:rsidRPr="0066346B" w:rsidRDefault="0066346B" w:rsidP="0066346B">
      <w:pPr>
        <w:pStyle w:val="Corpodeltesto2"/>
        <w:spacing w:line="240" w:lineRule="auto"/>
        <w:rPr>
          <w:b w:val="0"/>
        </w:rPr>
      </w:pPr>
      <w:r w:rsidRPr="0066346B">
        <w:rPr>
          <w:b w:val="0"/>
        </w:rPr>
        <w:t xml:space="preserve">Per consentire un livello di attività in linea con gli esercizi precedenti ma anche adeguato   a supplire </w:t>
      </w:r>
      <w:proofErr w:type="gramStart"/>
      <w:r w:rsidRPr="0066346B">
        <w:rPr>
          <w:b w:val="0"/>
        </w:rPr>
        <w:t>alle  nuove</w:t>
      </w:r>
      <w:proofErr w:type="gramEnd"/>
      <w:r w:rsidRPr="0066346B">
        <w:rPr>
          <w:b w:val="0"/>
        </w:rPr>
        <w:t xml:space="preserve"> situazioni di difficoltà che emergono anche nella comunità di intervento dell’Ente per effetto della pandemia da Covid-19,  si conferma    la previsione di impiegare    risorse aggiuntive  dalle riserve e dagli accantonamenti operati negli anni precedenti.</w:t>
      </w:r>
    </w:p>
    <w:p w:rsidR="0066346B" w:rsidRPr="006C1D08" w:rsidRDefault="0066346B" w:rsidP="0066346B">
      <w:pPr>
        <w:pStyle w:val="Corpodeltesto2"/>
        <w:spacing w:line="240" w:lineRule="auto"/>
        <w:rPr>
          <w:b w:val="0"/>
        </w:rPr>
      </w:pPr>
      <w:r w:rsidRPr="0066346B">
        <w:rPr>
          <w:b w:val="0"/>
        </w:rPr>
        <w:t>Nel rispetto di quanto stabilito  nel Piano di Programmazione Pluriennale 2019</w:t>
      </w:r>
      <w:r w:rsidR="00684343">
        <w:rPr>
          <w:b w:val="0"/>
        </w:rPr>
        <w:t>-</w:t>
      </w:r>
      <w:r w:rsidRPr="0066346B">
        <w:rPr>
          <w:b w:val="0"/>
        </w:rPr>
        <w:t>2021</w:t>
      </w:r>
      <w:r w:rsidR="006C1D08">
        <w:rPr>
          <w:b w:val="0"/>
        </w:rPr>
        <w:t xml:space="preserve">, </w:t>
      </w:r>
      <w:r w:rsidRPr="0066346B">
        <w:rPr>
          <w:b w:val="0"/>
        </w:rPr>
        <w:t xml:space="preserve"> per </w:t>
      </w:r>
      <w:r w:rsidR="006C1D08">
        <w:rPr>
          <w:b w:val="0"/>
        </w:rPr>
        <w:t xml:space="preserve">il 2021, </w:t>
      </w:r>
      <w:r w:rsidRPr="0066346B">
        <w:rPr>
          <w:b w:val="0"/>
        </w:rPr>
        <w:t xml:space="preserve"> il totale dei fondi per attività istituzionale </w:t>
      </w:r>
      <w:r w:rsidR="006C1D08">
        <w:rPr>
          <w:b w:val="0"/>
        </w:rPr>
        <w:t xml:space="preserve">previsto </w:t>
      </w:r>
      <w:r w:rsidRPr="0066346B">
        <w:rPr>
          <w:b w:val="0"/>
        </w:rPr>
        <w:t xml:space="preserve">è pari alla relativa quota residuale del triennio  </w:t>
      </w:r>
      <w:r w:rsidR="006C1D08">
        <w:rPr>
          <w:b w:val="0"/>
        </w:rPr>
        <w:t xml:space="preserve">ovvero di </w:t>
      </w:r>
      <w:r w:rsidRPr="0066346B">
        <w:rPr>
          <w:b w:val="0"/>
        </w:rPr>
        <w:t xml:space="preserve"> 1,2 milioni di euro</w:t>
      </w:r>
      <w:r w:rsidRPr="0066346B">
        <w:rPr>
          <w:b w:val="0"/>
          <w:color w:val="000000"/>
        </w:rPr>
        <w:t xml:space="preserve"> che verranno prelevati  dal  Fondo per  interventi istituzionali</w:t>
      </w:r>
      <w:r w:rsidR="006C1D08">
        <w:rPr>
          <w:b w:val="0"/>
          <w:color w:val="000000"/>
        </w:rPr>
        <w:t xml:space="preserve"> e ripartiti  come di seguito indicato:</w:t>
      </w:r>
    </w:p>
    <w:p w:rsidR="0066346B" w:rsidRDefault="0066346B" w:rsidP="00EB3093">
      <w:pPr>
        <w:rPr>
          <w:rFonts w:ascii="Times New Roman" w:hAnsi="Times New Roman"/>
          <w:szCs w:val="24"/>
        </w:rPr>
      </w:pPr>
    </w:p>
    <w:p w:rsidR="0066346B" w:rsidRDefault="0066346B">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szCs w:val="24"/>
        </w:rPr>
      </w:pPr>
      <w:r>
        <w:rPr>
          <w:rFonts w:asciiTheme="minorHAnsi" w:hAnsiTheme="minorHAnsi"/>
          <w:szCs w:val="24"/>
        </w:rPr>
        <w:br w:type="page"/>
      </w:r>
    </w:p>
    <w:p w:rsidR="00130362" w:rsidRDefault="00130362" w:rsidP="006221EE">
      <w:pPr>
        <w:rPr>
          <w:rFonts w:asciiTheme="minorHAnsi" w:hAnsiTheme="minorHAnsi"/>
          <w:szCs w:val="24"/>
        </w:rPr>
      </w:pPr>
    </w:p>
    <w:p w:rsidR="00130362" w:rsidRPr="000E412C" w:rsidRDefault="00130362" w:rsidP="006221EE">
      <w:pPr>
        <w:rPr>
          <w:rFonts w:asciiTheme="minorHAnsi" w:hAnsiTheme="minorHAnsi"/>
          <w:szCs w:val="24"/>
        </w:rPr>
      </w:pPr>
    </w:p>
    <w:p w:rsidR="006221EE" w:rsidRPr="001978E4" w:rsidRDefault="006221EE" w:rsidP="00532116">
      <w:pPr>
        <w:pStyle w:val="Titolo1"/>
        <w:tabs>
          <w:tab w:val="left" w:pos="708"/>
        </w:tabs>
        <w:jc w:val="left"/>
        <w:rPr>
          <w:rFonts w:eastAsia="Arial Unicode MS"/>
          <w:b/>
          <w:bCs/>
          <w:sz w:val="24"/>
        </w:rPr>
      </w:pPr>
      <w:proofErr w:type="gramStart"/>
      <w:r w:rsidRPr="001978E4">
        <w:rPr>
          <w:b/>
          <w:bCs/>
          <w:sz w:val="24"/>
        </w:rPr>
        <w:t>RIPARTIZIONE  FONDI</w:t>
      </w:r>
      <w:proofErr w:type="gramEnd"/>
      <w:r w:rsidRPr="001978E4">
        <w:rPr>
          <w:b/>
          <w:bCs/>
          <w:sz w:val="24"/>
        </w:rPr>
        <w:t xml:space="preserve"> PER ATTIVITA’ ISTITUZIONALI</w:t>
      </w:r>
      <w:r w:rsidR="00032B75">
        <w:rPr>
          <w:b/>
          <w:bCs/>
          <w:sz w:val="24"/>
        </w:rPr>
        <w:t xml:space="preserve"> (x 000)</w:t>
      </w:r>
    </w:p>
    <w:p w:rsidR="006221EE" w:rsidRPr="000E412C" w:rsidRDefault="006221EE" w:rsidP="006221EE">
      <w:pPr>
        <w:pStyle w:val="Corpodeltesto22"/>
        <w:spacing w:line="240" w:lineRule="auto"/>
        <w:jc w:val="center"/>
        <w:rPr>
          <w:rFonts w:asciiTheme="minorHAnsi" w:hAnsiTheme="minorHAnsi"/>
          <w:b/>
          <w:szCs w:val="24"/>
        </w:rPr>
      </w:pP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3"/>
        <w:gridCol w:w="1419"/>
        <w:gridCol w:w="1418"/>
      </w:tblGrid>
      <w:tr w:rsidR="001978E4" w:rsidRPr="009D4CD3" w:rsidTr="001978E4">
        <w:tc>
          <w:tcPr>
            <w:tcW w:w="3973" w:type="dxa"/>
          </w:tcPr>
          <w:p w:rsidR="001978E4" w:rsidRPr="001978E4" w:rsidRDefault="001978E4" w:rsidP="001013C5">
            <w:pPr>
              <w:jc w:val="center"/>
              <w:rPr>
                <w:rFonts w:ascii="Times New Roman" w:hAnsi="Times New Roman"/>
                <w:szCs w:val="22"/>
              </w:rPr>
            </w:pPr>
            <w:r w:rsidRPr="001978E4">
              <w:rPr>
                <w:rFonts w:ascii="Times New Roman" w:hAnsi="Times New Roman"/>
                <w:sz w:val="22"/>
                <w:szCs w:val="22"/>
              </w:rPr>
              <w:t>SETTORI RILEVANTI</w:t>
            </w:r>
          </w:p>
          <w:p w:rsidR="001978E4" w:rsidRPr="001978E4" w:rsidRDefault="001978E4" w:rsidP="001013C5">
            <w:pPr>
              <w:jc w:val="center"/>
              <w:rPr>
                <w:rFonts w:ascii="Times New Roman" w:hAnsi="Times New Roman"/>
                <w:szCs w:val="22"/>
              </w:rPr>
            </w:pPr>
          </w:p>
          <w:p w:rsidR="001978E4" w:rsidRPr="001978E4" w:rsidRDefault="001978E4" w:rsidP="001013C5">
            <w:pPr>
              <w:jc w:val="center"/>
              <w:rPr>
                <w:rFonts w:ascii="Times New Roman" w:hAnsi="Times New Roman"/>
                <w:szCs w:val="22"/>
              </w:rPr>
            </w:pPr>
          </w:p>
        </w:tc>
        <w:tc>
          <w:tcPr>
            <w:tcW w:w="1419" w:type="dxa"/>
          </w:tcPr>
          <w:p w:rsidR="001978E4" w:rsidRPr="001978E4" w:rsidRDefault="001978E4" w:rsidP="001013C5">
            <w:pPr>
              <w:jc w:val="center"/>
              <w:rPr>
                <w:rFonts w:ascii="Times New Roman" w:hAnsi="Times New Roman"/>
                <w:szCs w:val="22"/>
              </w:rPr>
            </w:pPr>
            <w:r w:rsidRPr="001978E4">
              <w:rPr>
                <w:rFonts w:ascii="Times New Roman" w:hAnsi="Times New Roman"/>
                <w:sz w:val="22"/>
                <w:szCs w:val="22"/>
              </w:rPr>
              <w:t>Valore</w:t>
            </w:r>
          </w:p>
          <w:p w:rsidR="001978E4" w:rsidRPr="001978E4" w:rsidRDefault="001978E4" w:rsidP="001013C5">
            <w:pPr>
              <w:jc w:val="center"/>
              <w:rPr>
                <w:rFonts w:ascii="Times New Roman" w:hAnsi="Times New Roman"/>
                <w:szCs w:val="22"/>
              </w:rPr>
            </w:pPr>
          </w:p>
        </w:tc>
        <w:tc>
          <w:tcPr>
            <w:tcW w:w="1418" w:type="dxa"/>
          </w:tcPr>
          <w:p w:rsidR="001978E4" w:rsidRPr="001978E4" w:rsidRDefault="001978E4" w:rsidP="001013C5">
            <w:pPr>
              <w:jc w:val="center"/>
              <w:rPr>
                <w:rFonts w:ascii="Times New Roman" w:hAnsi="Times New Roman"/>
                <w:szCs w:val="22"/>
              </w:rPr>
            </w:pPr>
            <w:r>
              <w:rPr>
                <w:rFonts w:ascii="Times New Roman" w:hAnsi="Times New Roman"/>
                <w:sz w:val="22"/>
                <w:szCs w:val="22"/>
              </w:rPr>
              <w:t>%</w:t>
            </w:r>
          </w:p>
          <w:p w:rsidR="001978E4" w:rsidRPr="001978E4" w:rsidRDefault="001978E4" w:rsidP="001013C5">
            <w:pPr>
              <w:jc w:val="center"/>
              <w:rPr>
                <w:rFonts w:ascii="Times New Roman" w:hAnsi="Times New Roman"/>
                <w:szCs w:val="22"/>
              </w:rPr>
            </w:pPr>
          </w:p>
        </w:tc>
      </w:tr>
      <w:tr w:rsidR="001978E4" w:rsidRPr="009D4CD3" w:rsidTr="001978E4">
        <w:tc>
          <w:tcPr>
            <w:tcW w:w="3973" w:type="dxa"/>
            <w:vAlign w:val="center"/>
            <w:hideMark/>
          </w:tcPr>
          <w:p w:rsidR="001978E4" w:rsidRDefault="001978E4" w:rsidP="009A00E3">
            <w:pPr>
              <w:ind w:left="72"/>
              <w:rPr>
                <w:rFonts w:ascii="Times New Roman" w:hAnsi="Times New Roman"/>
                <w:sz w:val="22"/>
                <w:szCs w:val="22"/>
              </w:rPr>
            </w:pPr>
            <w:r w:rsidRPr="001978E4">
              <w:rPr>
                <w:rFonts w:ascii="Times New Roman" w:hAnsi="Times New Roman"/>
                <w:sz w:val="22"/>
                <w:szCs w:val="22"/>
              </w:rPr>
              <w:t>Arte, attività e beni culturali</w:t>
            </w:r>
          </w:p>
          <w:p w:rsidR="008C07F0" w:rsidRDefault="008C07F0" w:rsidP="009A00E3">
            <w:pPr>
              <w:ind w:left="72"/>
              <w:rPr>
                <w:rFonts w:ascii="Times New Roman" w:hAnsi="Times New Roman"/>
                <w:szCs w:val="22"/>
              </w:rPr>
            </w:pPr>
          </w:p>
          <w:p w:rsidR="008C07F0" w:rsidRPr="001978E4" w:rsidRDefault="008C07F0" w:rsidP="009A00E3">
            <w:pPr>
              <w:ind w:left="72"/>
              <w:rPr>
                <w:rFonts w:ascii="Times New Roman" w:hAnsi="Times New Roman"/>
                <w:szCs w:val="22"/>
              </w:rPr>
            </w:pPr>
          </w:p>
          <w:p w:rsidR="001978E4" w:rsidRPr="001978E4" w:rsidRDefault="001978E4" w:rsidP="009A00E3">
            <w:pPr>
              <w:ind w:left="72"/>
              <w:rPr>
                <w:rFonts w:ascii="Times New Roman" w:hAnsi="Times New Roman"/>
                <w:szCs w:val="22"/>
              </w:rPr>
            </w:pPr>
          </w:p>
        </w:tc>
        <w:tc>
          <w:tcPr>
            <w:tcW w:w="1419" w:type="dxa"/>
            <w:vAlign w:val="center"/>
            <w:hideMark/>
          </w:tcPr>
          <w:p w:rsidR="001978E4" w:rsidRPr="001978E4" w:rsidRDefault="0018598A" w:rsidP="001B702D">
            <w:pPr>
              <w:jc w:val="center"/>
              <w:rPr>
                <w:rFonts w:ascii="Times New Roman" w:hAnsi="Times New Roman"/>
                <w:szCs w:val="22"/>
              </w:rPr>
            </w:pPr>
            <w:r>
              <w:rPr>
                <w:rFonts w:ascii="Times New Roman" w:hAnsi="Times New Roman"/>
                <w:sz w:val="22"/>
                <w:szCs w:val="22"/>
              </w:rPr>
              <w:t>528</w:t>
            </w:r>
            <w:r w:rsidR="00032B75">
              <w:rPr>
                <w:rFonts w:ascii="Times New Roman" w:hAnsi="Times New Roman"/>
                <w:sz w:val="22"/>
                <w:szCs w:val="22"/>
              </w:rPr>
              <w:t>,00</w:t>
            </w:r>
          </w:p>
        </w:tc>
        <w:tc>
          <w:tcPr>
            <w:tcW w:w="1418" w:type="dxa"/>
            <w:hideMark/>
          </w:tcPr>
          <w:p w:rsidR="001978E4" w:rsidRPr="001978E4" w:rsidRDefault="001978E4" w:rsidP="001B702D">
            <w:pPr>
              <w:jc w:val="center"/>
              <w:rPr>
                <w:rFonts w:ascii="Times New Roman" w:hAnsi="Times New Roman"/>
                <w:szCs w:val="22"/>
              </w:rPr>
            </w:pPr>
            <w:r w:rsidRPr="001978E4">
              <w:rPr>
                <w:rFonts w:ascii="Times New Roman" w:hAnsi="Times New Roman"/>
                <w:sz w:val="22"/>
                <w:szCs w:val="22"/>
              </w:rPr>
              <w:t>44,0</w:t>
            </w:r>
          </w:p>
        </w:tc>
      </w:tr>
      <w:tr w:rsidR="001978E4" w:rsidRPr="009D4CD3" w:rsidTr="001978E4">
        <w:tc>
          <w:tcPr>
            <w:tcW w:w="3973" w:type="dxa"/>
            <w:vAlign w:val="center"/>
            <w:hideMark/>
          </w:tcPr>
          <w:p w:rsidR="008C07F0" w:rsidRPr="008C07F0" w:rsidRDefault="001978E4" w:rsidP="008C07F0">
            <w:pPr>
              <w:ind w:left="72"/>
              <w:rPr>
                <w:rFonts w:ascii="Times New Roman" w:hAnsi="Times New Roman"/>
                <w:sz w:val="22"/>
                <w:szCs w:val="22"/>
              </w:rPr>
            </w:pPr>
            <w:r w:rsidRPr="001978E4">
              <w:rPr>
                <w:rFonts w:ascii="Times New Roman" w:hAnsi="Times New Roman"/>
                <w:sz w:val="22"/>
                <w:szCs w:val="22"/>
              </w:rPr>
              <w:t>Educazione, istruzione e formazione, incluso l’acquisto di prodotti editoriali per la scuola</w:t>
            </w:r>
          </w:p>
        </w:tc>
        <w:tc>
          <w:tcPr>
            <w:tcW w:w="1419" w:type="dxa"/>
            <w:vAlign w:val="center"/>
          </w:tcPr>
          <w:p w:rsidR="001978E4" w:rsidRPr="001978E4" w:rsidRDefault="008C07F0" w:rsidP="001B702D">
            <w:pPr>
              <w:jc w:val="center"/>
              <w:rPr>
                <w:rFonts w:ascii="Times New Roman" w:hAnsi="Times New Roman"/>
                <w:caps/>
                <w:szCs w:val="22"/>
              </w:rPr>
            </w:pPr>
            <w:r>
              <w:rPr>
                <w:rFonts w:ascii="Times New Roman" w:hAnsi="Times New Roman"/>
                <w:caps/>
                <w:sz w:val="22"/>
                <w:szCs w:val="22"/>
              </w:rPr>
              <w:t>264</w:t>
            </w:r>
            <w:r w:rsidR="00032B75">
              <w:rPr>
                <w:rFonts w:ascii="Times New Roman" w:hAnsi="Times New Roman"/>
                <w:caps/>
                <w:sz w:val="22"/>
                <w:szCs w:val="22"/>
              </w:rPr>
              <w:t>,00</w:t>
            </w:r>
          </w:p>
        </w:tc>
        <w:tc>
          <w:tcPr>
            <w:tcW w:w="1418" w:type="dxa"/>
            <w:hideMark/>
          </w:tcPr>
          <w:p w:rsidR="001978E4" w:rsidRPr="001978E4" w:rsidRDefault="001978E4" w:rsidP="001B702D">
            <w:pPr>
              <w:jc w:val="center"/>
              <w:rPr>
                <w:rFonts w:ascii="Times New Roman" w:hAnsi="Times New Roman"/>
                <w:caps/>
                <w:szCs w:val="22"/>
              </w:rPr>
            </w:pPr>
          </w:p>
          <w:p w:rsidR="001978E4" w:rsidRPr="001978E4" w:rsidRDefault="001978E4" w:rsidP="001B702D">
            <w:pPr>
              <w:jc w:val="center"/>
              <w:rPr>
                <w:rFonts w:ascii="Times New Roman" w:hAnsi="Times New Roman"/>
                <w:caps/>
                <w:szCs w:val="22"/>
              </w:rPr>
            </w:pPr>
            <w:r w:rsidRPr="001978E4">
              <w:rPr>
                <w:rFonts w:ascii="Times New Roman" w:hAnsi="Times New Roman"/>
                <w:caps/>
                <w:sz w:val="22"/>
                <w:szCs w:val="22"/>
              </w:rPr>
              <w:t>22,0</w:t>
            </w:r>
            <w:r>
              <w:rPr>
                <w:rFonts w:ascii="Times New Roman" w:hAnsi="Times New Roman"/>
                <w:caps/>
                <w:sz w:val="22"/>
                <w:szCs w:val="22"/>
              </w:rPr>
              <w:t>0</w:t>
            </w:r>
          </w:p>
        </w:tc>
      </w:tr>
      <w:tr w:rsidR="001978E4" w:rsidRPr="009D4CD3" w:rsidTr="001978E4">
        <w:tc>
          <w:tcPr>
            <w:tcW w:w="3973" w:type="dxa"/>
            <w:vAlign w:val="center"/>
            <w:hideMark/>
          </w:tcPr>
          <w:p w:rsidR="001978E4" w:rsidRDefault="001978E4" w:rsidP="009A00E3">
            <w:pPr>
              <w:ind w:left="72"/>
              <w:rPr>
                <w:rFonts w:ascii="Times New Roman" w:hAnsi="Times New Roman"/>
                <w:sz w:val="22"/>
                <w:szCs w:val="22"/>
              </w:rPr>
            </w:pPr>
            <w:r w:rsidRPr="001978E4">
              <w:rPr>
                <w:rFonts w:ascii="Times New Roman" w:hAnsi="Times New Roman"/>
                <w:sz w:val="22"/>
                <w:szCs w:val="22"/>
              </w:rPr>
              <w:t>Salute pubblica, medicina preventiva e riabilitativa</w:t>
            </w:r>
          </w:p>
          <w:p w:rsidR="008C07F0" w:rsidRPr="001978E4" w:rsidRDefault="008C07F0" w:rsidP="009A00E3">
            <w:pPr>
              <w:ind w:left="72"/>
              <w:rPr>
                <w:rFonts w:ascii="Times New Roman" w:hAnsi="Times New Roman"/>
                <w:szCs w:val="22"/>
              </w:rPr>
            </w:pPr>
          </w:p>
          <w:p w:rsidR="001978E4" w:rsidRPr="001978E4" w:rsidRDefault="001978E4" w:rsidP="009A00E3">
            <w:pPr>
              <w:ind w:left="72"/>
              <w:rPr>
                <w:rFonts w:ascii="Times New Roman" w:hAnsi="Times New Roman"/>
                <w:szCs w:val="22"/>
              </w:rPr>
            </w:pPr>
          </w:p>
        </w:tc>
        <w:tc>
          <w:tcPr>
            <w:tcW w:w="1419" w:type="dxa"/>
            <w:vAlign w:val="center"/>
            <w:hideMark/>
          </w:tcPr>
          <w:p w:rsidR="001978E4" w:rsidRPr="001978E4" w:rsidRDefault="008C07F0" w:rsidP="001B702D">
            <w:pPr>
              <w:jc w:val="center"/>
              <w:rPr>
                <w:rFonts w:ascii="Times New Roman" w:hAnsi="Times New Roman"/>
                <w:szCs w:val="22"/>
              </w:rPr>
            </w:pPr>
            <w:r>
              <w:rPr>
                <w:rFonts w:ascii="Times New Roman" w:hAnsi="Times New Roman"/>
                <w:sz w:val="22"/>
                <w:szCs w:val="22"/>
              </w:rPr>
              <w:t>132</w:t>
            </w:r>
            <w:r w:rsidR="00032B75">
              <w:rPr>
                <w:rFonts w:ascii="Times New Roman" w:hAnsi="Times New Roman"/>
                <w:sz w:val="22"/>
                <w:szCs w:val="22"/>
              </w:rPr>
              <w:t>,00</w:t>
            </w:r>
          </w:p>
        </w:tc>
        <w:tc>
          <w:tcPr>
            <w:tcW w:w="1418" w:type="dxa"/>
          </w:tcPr>
          <w:p w:rsidR="001978E4" w:rsidRPr="001978E4" w:rsidRDefault="001978E4" w:rsidP="001B702D">
            <w:pPr>
              <w:jc w:val="center"/>
              <w:rPr>
                <w:rFonts w:ascii="Times New Roman" w:hAnsi="Times New Roman"/>
                <w:szCs w:val="22"/>
              </w:rPr>
            </w:pPr>
          </w:p>
          <w:p w:rsidR="001978E4" w:rsidRPr="001978E4" w:rsidRDefault="001978E4" w:rsidP="001B702D">
            <w:pPr>
              <w:jc w:val="center"/>
              <w:rPr>
                <w:rFonts w:ascii="Times New Roman" w:hAnsi="Times New Roman"/>
                <w:szCs w:val="22"/>
              </w:rPr>
            </w:pPr>
            <w:r w:rsidRPr="001978E4">
              <w:rPr>
                <w:rFonts w:ascii="Times New Roman" w:hAnsi="Times New Roman"/>
                <w:sz w:val="22"/>
                <w:szCs w:val="22"/>
              </w:rPr>
              <w:t>11,00</w:t>
            </w:r>
          </w:p>
        </w:tc>
      </w:tr>
      <w:tr w:rsidR="001978E4" w:rsidRPr="009D4CD3" w:rsidTr="001978E4">
        <w:tc>
          <w:tcPr>
            <w:tcW w:w="3973" w:type="dxa"/>
            <w:vAlign w:val="center"/>
            <w:hideMark/>
          </w:tcPr>
          <w:p w:rsidR="001978E4" w:rsidRPr="001978E4" w:rsidRDefault="001978E4" w:rsidP="009A00E3">
            <w:pPr>
              <w:ind w:left="72"/>
              <w:rPr>
                <w:rFonts w:ascii="Times New Roman" w:hAnsi="Times New Roman"/>
                <w:szCs w:val="22"/>
              </w:rPr>
            </w:pPr>
            <w:r w:rsidRPr="001978E4">
              <w:rPr>
                <w:rFonts w:ascii="Times New Roman" w:hAnsi="Times New Roman"/>
                <w:sz w:val="22"/>
                <w:szCs w:val="22"/>
              </w:rPr>
              <w:t>Volontariato, filantropia e beneficenza</w:t>
            </w:r>
          </w:p>
          <w:p w:rsidR="001978E4" w:rsidRDefault="001978E4" w:rsidP="009A00E3">
            <w:pPr>
              <w:ind w:left="72"/>
              <w:rPr>
                <w:rFonts w:ascii="Times New Roman" w:hAnsi="Times New Roman"/>
                <w:szCs w:val="22"/>
              </w:rPr>
            </w:pPr>
          </w:p>
          <w:p w:rsidR="008C07F0" w:rsidRPr="001978E4" w:rsidRDefault="008C07F0" w:rsidP="009A00E3">
            <w:pPr>
              <w:ind w:left="72"/>
              <w:rPr>
                <w:rFonts w:ascii="Times New Roman" w:hAnsi="Times New Roman"/>
                <w:szCs w:val="22"/>
              </w:rPr>
            </w:pPr>
          </w:p>
          <w:p w:rsidR="001978E4" w:rsidRPr="001978E4" w:rsidRDefault="001978E4" w:rsidP="009A00E3">
            <w:pPr>
              <w:ind w:left="72"/>
              <w:rPr>
                <w:rFonts w:ascii="Times New Roman" w:hAnsi="Times New Roman"/>
                <w:szCs w:val="22"/>
              </w:rPr>
            </w:pPr>
          </w:p>
        </w:tc>
        <w:tc>
          <w:tcPr>
            <w:tcW w:w="1419" w:type="dxa"/>
            <w:vAlign w:val="center"/>
          </w:tcPr>
          <w:p w:rsidR="001978E4" w:rsidRPr="001978E4" w:rsidRDefault="008C07F0" w:rsidP="001B702D">
            <w:pPr>
              <w:jc w:val="center"/>
              <w:rPr>
                <w:rFonts w:ascii="Times New Roman" w:hAnsi="Times New Roman"/>
                <w:szCs w:val="22"/>
              </w:rPr>
            </w:pPr>
            <w:r>
              <w:rPr>
                <w:rFonts w:ascii="Times New Roman" w:hAnsi="Times New Roman"/>
                <w:sz w:val="22"/>
                <w:szCs w:val="22"/>
              </w:rPr>
              <w:t>276</w:t>
            </w:r>
            <w:r w:rsidR="00032B75">
              <w:rPr>
                <w:rFonts w:ascii="Times New Roman" w:hAnsi="Times New Roman"/>
                <w:sz w:val="22"/>
                <w:szCs w:val="22"/>
              </w:rPr>
              <w:t>,00</w:t>
            </w:r>
          </w:p>
        </w:tc>
        <w:tc>
          <w:tcPr>
            <w:tcW w:w="1418" w:type="dxa"/>
            <w:hideMark/>
          </w:tcPr>
          <w:p w:rsidR="001978E4" w:rsidRPr="001978E4" w:rsidRDefault="001978E4" w:rsidP="001B702D">
            <w:pPr>
              <w:jc w:val="center"/>
              <w:rPr>
                <w:rFonts w:ascii="Times New Roman" w:hAnsi="Times New Roman"/>
                <w:szCs w:val="22"/>
              </w:rPr>
            </w:pPr>
          </w:p>
          <w:p w:rsidR="001978E4" w:rsidRPr="001978E4" w:rsidRDefault="001978E4" w:rsidP="001B702D">
            <w:pPr>
              <w:jc w:val="center"/>
              <w:rPr>
                <w:rFonts w:ascii="Times New Roman" w:hAnsi="Times New Roman"/>
                <w:szCs w:val="22"/>
              </w:rPr>
            </w:pPr>
            <w:r w:rsidRPr="001978E4">
              <w:rPr>
                <w:rFonts w:ascii="Times New Roman" w:hAnsi="Times New Roman"/>
                <w:sz w:val="22"/>
                <w:szCs w:val="22"/>
              </w:rPr>
              <w:t>23,00</w:t>
            </w:r>
          </w:p>
        </w:tc>
      </w:tr>
      <w:tr w:rsidR="001978E4" w:rsidRPr="009D4CD3" w:rsidTr="001978E4">
        <w:tc>
          <w:tcPr>
            <w:tcW w:w="3973" w:type="dxa"/>
            <w:vAlign w:val="center"/>
          </w:tcPr>
          <w:p w:rsidR="001978E4" w:rsidRPr="008C07F0" w:rsidRDefault="001978E4" w:rsidP="009A00E3">
            <w:pPr>
              <w:ind w:left="72"/>
              <w:rPr>
                <w:rFonts w:ascii="Times New Roman" w:hAnsi="Times New Roman"/>
                <w:b/>
                <w:szCs w:val="22"/>
              </w:rPr>
            </w:pPr>
          </w:p>
          <w:p w:rsidR="001978E4" w:rsidRPr="008C07F0" w:rsidRDefault="001978E4" w:rsidP="009A00E3">
            <w:pPr>
              <w:ind w:left="72"/>
              <w:rPr>
                <w:rFonts w:ascii="Times New Roman" w:hAnsi="Times New Roman"/>
                <w:b/>
                <w:szCs w:val="22"/>
              </w:rPr>
            </w:pPr>
            <w:r w:rsidRPr="008C07F0">
              <w:rPr>
                <w:rFonts w:ascii="Times New Roman" w:hAnsi="Times New Roman"/>
                <w:b/>
                <w:sz w:val="22"/>
                <w:szCs w:val="22"/>
              </w:rPr>
              <w:t>Totale complessivo</w:t>
            </w:r>
          </w:p>
          <w:p w:rsidR="001978E4" w:rsidRPr="008C07F0" w:rsidRDefault="001978E4" w:rsidP="009A00E3">
            <w:pPr>
              <w:ind w:left="72"/>
              <w:rPr>
                <w:rFonts w:ascii="Times New Roman" w:hAnsi="Times New Roman"/>
                <w:b/>
                <w:szCs w:val="22"/>
              </w:rPr>
            </w:pPr>
          </w:p>
        </w:tc>
        <w:tc>
          <w:tcPr>
            <w:tcW w:w="1419" w:type="dxa"/>
            <w:vAlign w:val="center"/>
            <w:hideMark/>
          </w:tcPr>
          <w:p w:rsidR="001978E4" w:rsidRPr="008C07F0" w:rsidRDefault="0018598A" w:rsidP="001B702D">
            <w:pPr>
              <w:jc w:val="center"/>
              <w:rPr>
                <w:rFonts w:ascii="Times New Roman" w:hAnsi="Times New Roman"/>
                <w:b/>
                <w:szCs w:val="22"/>
              </w:rPr>
            </w:pPr>
            <w:r w:rsidRPr="008C07F0">
              <w:rPr>
                <w:rFonts w:ascii="Times New Roman" w:hAnsi="Times New Roman"/>
                <w:b/>
                <w:szCs w:val="22"/>
              </w:rPr>
              <w:t>1.200</w:t>
            </w:r>
            <w:r w:rsidR="00032B75">
              <w:rPr>
                <w:rFonts w:ascii="Times New Roman" w:hAnsi="Times New Roman"/>
                <w:b/>
                <w:szCs w:val="22"/>
              </w:rPr>
              <w:t>,00</w:t>
            </w:r>
          </w:p>
        </w:tc>
        <w:tc>
          <w:tcPr>
            <w:tcW w:w="1418" w:type="dxa"/>
            <w:vAlign w:val="center"/>
            <w:hideMark/>
          </w:tcPr>
          <w:p w:rsidR="001978E4" w:rsidRPr="008C07F0" w:rsidRDefault="001978E4" w:rsidP="001B702D">
            <w:pPr>
              <w:jc w:val="center"/>
              <w:rPr>
                <w:rFonts w:ascii="Times New Roman" w:hAnsi="Times New Roman"/>
                <w:b/>
                <w:szCs w:val="22"/>
              </w:rPr>
            </w:pPr>
            <w:r w:rsidRPr="008C07F0">
              <w:rPr>
                <w:rFonts w:ascii="Times New Roman" w:hAnsi="Times New Roman"/>
                <w:b/>
                <w:sz w:val="22"/>
                <w:szCs w:val="22"/>
              </w:rPr>
              <w:t>100,00</w:t>
            </w:r>
          </w:p>
        </w:tc>
      </w:tr>
    </w:tbl>
    <w:p w:rsidR="003148C5" w:rsidRDefault="003148C5" w:rsidP="003148C5">
      <w:pPr>
        <w:rPr>
          <w:rFonts w:asciiTheme="minorHAnsi" w:eastAsiaTheme="minorHAnsi" w:hAnsiTheme="minorHAnsi"/>
          <w:b/>
          <w:bCs/>
          <w:szCs w:val="24"/>
          <w:vertAlign w:val="superscript"/>
          <w:lang w:eastAsia="en-US"/>
        </w:rPr>
      </w:pPr>
    </w:p>
    <w:p w:rsidR="00F428BD" w:rsidRPr="00D45F6A" w:rsidRDefault="000B2ED6" w:rsidP="00F428BD">
      <w:pPr>
        <w:pStyle w:val="Standard"/>
        <w:tabs>
          <w:tab w:val="left" w:pos="-142"/>
          <w:tab w:val="left" w:pos="0"/>
        </w:tabs>
        <w:spacing w:after="0" w:line="240" w:lineRule="auto"/>
        <w:ind w:right="57"/>
        <w:jc w:val="center"/>
        <w:rPr>
          <w:rFonts w:ascii="Times New Roman" w:hAnsi="Times New Roman"/>
          <w:b/>
          <w:bCs/>
          <w:sz w:val="24"/>
          <w:szCs w:val="24"/>
        </w:rPr>
      </w:pPr>
      <w:r>
        <w:rPr>
          <w:rFonts w:asciiTheme="minorHAnsi" w:hAnsiTheme="minorHAnsi"/>
          <w:b/>
          <w:szCs w:val="24"/>
        </w:rPr>
        <w:br w:type="page"/>
      </w:r>
      <w:r w:rsidR="00F428BD" w:rsidRPr="00D45F6A">
        <w:rPr>
          <w:rFonts w:ascii="Times New Roman" w:hAnsi="Times New Roman"/>
          <w:b/>
          <w:bCs/>
          <w:sz w:val="24"/>
          <w:szCs w:val="24"/>
        </w:rPr>
        <w:lastRenderedPageBreak/>
        <w:t xml:space="preserve">RELAZIONE DEL COLLEGIO DEI SINDACI </w:t>
      </w:r>
    </w:p>
    <w:p w:rsidR="00F428BD" w:rsidRPr="00D45F6A" w:rsidRDefault="00F428BD" w:rsidP="00F428BD">
      <w:pPr>
        <w:pStyle w:val="Standard"/>
        <w:tabs>
          <w:tab w:val="left" w:pos="-142"/>
          <w:tab w:val="left" w:pos="0"/>
        </w:tabs>
        <w:spacing w:after="0" w:line="240" w:lineRule="auto"/>
        <w:ind w:right="57"/>
        <w:jc w:val="center"/>
        <w:rPr>
          <w:rFonts w:ascii="Times New Roman" w:hAnsi="Times New Roman"/>
          <w:b/>
          <w:bCs/>
          <w:sz w:val="24"/>
          <w:szCs w:val="24"/>
        </w:rPr>
      </w:pPr>
      <w:r w:rsidRPr="00D45F6A">
        <w:rPr>
          <w:rFonts w:ascii="Times New Roman" w:hAnsi="Times New Roman"/>
          <w:b/>
          <w:bCs/>
          <w:sz w:val="24"/>
          <w:szCs w:val="24"/>
        </w:rPr>
        <w:t>AI SENSI DELL’ART. 23 – COMMA 8 – DELLO STATUTO</w:t>
      </w:r>
    </w:p>
    <w:p w:rsidR="00F428BD" w:rsidRPr="00D45F6A" w:rsidRDefault="00F428BD" w:rsidP="00F428BD">
      <w:pPr>
        <w:pStyle w:val="Standard"/>
        <w:tabs>
          <w:tab w:val="left" w:pos="-142"/>
          <w:tab w:val="left" w:pos="0"/>
        </w:tabs>
        <w:spacing w:after="0" w:line="240" w:lineRule="auto"/>
        <w:ind w:right="57"/>
        <w:jc w:val="center"/>
        <w:rPr>
          <w:rFonts w:ascii="Times New Roman" w:hAnsi="Times New Roman"/>
          <w:b/>
          <w:bCs/>
          <w:sz w:val="24"/>
          <w:szCs w:val="24"/>
        </w:rPr>
      </w:pPr>
      <w:r w:rsidRPr="00D45F6A">
        <w:rPr>
          <w:rFonts w:ascii="Times New Roman" w:hAnsi="Times New Roman"/>
          <w:b/>
          <w:bCs/>
          <w:sz w:val="24"/>
          <w:szCs w:val="24"/>
        </w:rPr>
        <w:t xml:space="preserve">ALLA PROPOSTA </w:t>
      </w:r>
      <w:proofErr w:type="gramStart"/>
      <w:r w:rsidRPr="00D45F6A">
        <w:rPr>
          <w:rFonts w:ascii="Times New Roman" w:hAnsi="Times New Roman"/>
          <w:b/>
          <w:bCs/>
          <w:sz w:val="24"/>
          <w:szCs w:val="24"/>
        </w:rPr>
        <w:t>DI  DOCUMENTO</w:t>
      </w:r>
      <w:proofErr w:type="gramEnd"/>
      <w:r w:rsidRPr="00D45F6A">
        <w:rPr>
          <w:rFonts w:ascii="Times New Roman" w:hAnsi="Times New Roman"/>
          <w:b/>
          <w:bCs/>
          <w:sz w:val="24"/>
          <w:szCs w:val="24"/>
        </w:rPr>
        <w:t xml:space="preserve"> PROGRAMMATICO</w:t>
      </w:r>
    </w:p>
    <w:p w:rsidR="00F428BD" w:rsidRPr="00D45F6A" w:rsidRDefault="00F428BD" w:rsidP="00F428BD">
      <w:pPr>
        <w:pStyle w:val="Standard"/>
        <w:tabs>
          <w:tab w:val="left" w:pos="-142"/>
          <w:tab w:val="left" w:pos="0"/>
        </w:tabs>
        <w:spacing w:after="0" w:line="240" w:lineRule="auto"/>
        <w:ind w:right="57"/>
        <w:jc w:val="center"/>
        <w:rPr>
          <w:rFonts w:ascii="Times New Roman" w:hAnsi="Times New Roman"/>
          <w:b/>
          <w:bCs/>
          <w:sz w:val="24"/>
          <w:szCs w:val="24"/>
        </w:rPr>
      </w:pPr>
      <w:r w:rsidRPr="00D45F6A">
        <w:rPr>
          <w:rFonts w:ascii="Times New Roman" w:hAnsi="Times New Roman"/>
          <w:b/>
          <w:bCs/>
          <w:sz w:val="24"/>
          <w:szCs w:val="24"/>
        </w:rPr>
        <w:t>PREVISIONALE DELLA FONDAZIONE CARIVIT</w:t>
      </w:r>
    </w:p>
    <w:p w:rsidR="00F428BD" w:rsidRPr="00D45F6A" w:rsidRDefault="00F428BD" w:rsidP="00F428BD">
      <w:pPr>
        <w:pStyle w:val="Standard"/>
        <w:tabs>
          <w:tab w:val="left" w:pos="-142"/>
          <w:tab w:val="left" w:pos="0"/>
        </w:tabs>
        <w:spacing w:line="240" w:lineRule="auto"/>
        <w:ind w:right="57"/>
        <w:jc w:val="center"/>
        <w:rPr>
          <w:rFonts w:ascii="Times New Roman" w:hAnsi="Times New Roman"/>
          <w:b/>
          <w:bCs/>
        </w:rPr>
      </w:pPr>
      <w:r w:rsidRPr="00D45F6A">
        <w:rPr>
          <w:rFonts w:ascii="Times New Roman" w:hAnsi="Times New Roman"/>
          <w:b/>
          <w:bCs/>
          <w:sz w:val="24"/>
          <w:szCs w:val="24"/>
        </w:rPr>
        <w:t>PER L’ANNO 202</w:t>
      </w:r>
      <w:r>
        <w:rPr>
          <w:rFonts w:ascii="Times New Roman" w:hAnsi="Times New Roman"/>
          <w:b/>
          <w:bCs/>
          <w:sz w:val="24"/>
          <w:szCs w:val="24"/>
        </w:rPr>
        <w:t>1</w:t>
      </w:r>
    </w:p>
    <w:p w:rsidR="00F428BD" w:rsidRDefault="00F428BD" w:rsidP="00F428BD">
      <w:pPr>
        <w:pStyle w:val="Standard"/>
        <w:tabs>
          <w:tab w:val="left" w:pos="-142"/>
          <w:tab w:val="left" w:pos="0"/>
        </w:tabs>
        <w:spacing w:after="0" w:line="240" w:lineRule="auto"/>
        <w:ind w:right="57"/>
        <w:jc w:val="center"/>
        <w:rPr>
          <w:rFonts w:ascii="Times New Roman" w:hAnsi="Times New Roman"/>
          <w:u w:val="single"/>
        </w:rPr>
      </w:pPr>
    </w:p>
    <w:p w:rsidR="00F428BD" w:rsidRPr="00D45F6A" w:rsidRDefault="00F428BD" w:rsidP="00F428BD">
      <w:pPr>
        <w:pStyle w:val="Standard"/>
        <w:tabs>
          <w:tab w:val="left" w:pos="-142"/>
          <w:tab w:val="left" w:pos="0"/>
        </w:tabs>
        <w:spacing w:after="0" w:line="240" w:lineRule="auto"/>
        <w:ind w:right="57"/>
        <w:jc w:val="center"/>
        <w:rPr>
          <w:rFonts w:ascii="Times New Roman" w:hAnsi="Times New Roman"/>
          <w:u w:val="single"/>
        </w:rPr>
      </w:pPr>
      <w:r w:rsidRPr="00D45F6A">
        <w:rPr>
          <w:rFonts w:ascii="Times New Roman" w:hAnsi="Times New Roman"/>
          <w:u w:val="single"/>
        </w:rPr>
        <w:t>Proposta approvata dal Consiglio di Amministrazione nella seduta del</w:t>
      </w:r>
    </w:p>
    <w:p w:rsidR="00F428BD" w:rsidRDefault="00F428BD" w:rsidP="00F428BD">
      <w:pPr>
        <w:pStyle w:val="Standard"/>
        <w:tabs>
          <w:tab w:val="left" w:pos="-142"/>
          <w:tab w:val="left" w:pos="0"/>
        </w:tabs>
        <w:spacing w:line="240" w:lineRule="auto"/>
        <w:ind w:right="57"/>
        <w:jc w:val="center"/>
        <w:rPr>
          <w:rFonts w:ascii="Times New Roman" w:hAnsi="Times New Roman"/>
          <w:u w:val="single"/>
        </w:rPr>
      </w:pPr>
      <w:r>
        <w:rPr>
          <w:rFonts w:ascii="Times New Roman" w:hAnsi="Times New Roman"/>
          <w:u w:val="single"/>
        </w:rPr>
        <w:t>29 settembre 2020</w:t>
      </w:r>
    </w:p>
    <w:p w:rsidR="00F428BD" w:rsidRPr="00D45F6A" w:rsidRDefault="00F428BD" w:rsidP="00F428BD">
      <w:pPr>
        <w:pStyle w:val="Standard"/>
        <w:tabs>
          <w:tab w:val="left" w:pos="-142"/>
          <w:tab w:val="left" w:pos="0"/>
        </w:tabs>
        <w:spacing w:line="240" w:lineRule="auto"/>
        <w:ind w:right="57"/>
        <w:jc w:val="center"/>
        <w:rPr>
          <w:rFonts w:ascii="Times New Roman" w:hAnsi="Times New Roman"/>
          <w:u w:val="single"/>
        </w:rPr>
      </w:pPr>
    </w:p>
    <w:p w:rsidR="00F428BD" w:rsidRPr="00D45F6A" w:rsidRDefault="00F428BD" w:rsidP="00F428BD">
      <w:pPr>
        <w:pStyle w:val="Delibera"/>
        <w:tabs>
          <w:tab w:val="left" w:pos="708"/>
        </w:tabs>
        <w:spacing w:line="240" w:lineRule="auto"/>
        <w:rPr>
          <w:bCs/>
          <w:sz w:val="22"/>
          <w:szCs w:val="22"/>
        </w:rPr>
      </w:pPr>
      <w:r w:rsidRPr="00D45F6A">
        <w:rPr>
          <w:bCs/>
          <w:sz w:val="22"/>
          <w:szCs w:val="22"/>
        </w:rPr>
        <w:t>Signori Soci (per il parere consultivo ai sensi dell’art. 11 – comma 1 – lettera e) dello Statuto).</w:t>
      </w:r>
    </w:p>
    <w:p w:rsidR="00F428BD" w:rsidRPr="00D45F6A" w:rsidRDefault="00F428BD" w:rsidP="00F428BD">
      <w:pPr>
        <w:pStyle w:val="Delibera"/>
        <w:tabs>
          <w:tab w:val="left" w:pos="708"/>
        </w:tabs>
        <w:spacing w:line="240" w:lineRule="auto"/>
        <w:rPr>
          <w:bCs/>
          <w:sz w:val="22"/>
          <w:szCs w:val="22"/>
        </w:rPr>
      </w:pPr>
      <w:r w:rsidRPr="00D45F6A">
        <w:rPr>
          <w:bCs/>
          <w:sz w:val="22"/>
          <w:szCs w:val="22"/>
        </w:rPr>
        <w:t>Signori Consiglieri di Indirizzo (per le competenti determinazioni ai sensi dell’art. 17 – comma 1 – lettera h) dello Statuto).</w:t>
      </w:r>
    </w:p>
    <w:p w:rsidR="00F428BD" w:rsidRDefault="00F428BD" w:rsidP="00F428BD">
      <w:pPr>
        <w:pStyle w:val="Delibera"/>
        <w:tabs>
          <w:tab w:val="left" w:pos="708"/>
        </w:tabs>
        <w:spacing w:line="240" w:lineRule="auto"/>
        <w:rPr>
          <w:bCs/>
          <w:sz w:val="22"/>
          <w:szCs w:val="22"/>
        </w:rPr>
      </w:pPr>
    </w:p>
    <w:p w:rsidR="00F428BD" w:rsidRDefault="00F428BD" w:rsidP="00F428BD">
      <w:pPr>
        <w:pStyle w:val="Delibera"/>
        <w:tabs>
          <w:tab w:val="left" w:pos="708"/>
        </w:tabs>
        <w:spacing w:line="240" w:lineRule="auto"/>
        <w:rPr>
          <w:bCs/>
          <w:sz w:val="22"/>
          <w:szCs w:val="22"/>
        </w:rPr>
      </w:pPr>
      <w:r w:rsidRPr="00D45F6A">
        <w:rPr>
          <w:bCs/>
          <w:sz w:val="22"/>
          <w:szCs w:val="22"/>
        </w:rPr>
        <w:t>La Proposta di Documento Programmatico Previsionale per l’anno 202</w:t>
      </w:r>
      <w:r>
        <w:rPr>
          <w:bCs/>
          <w:sz w:val="22"/>
          <w:szCs w:val="22"/>
        </w:rPr>
        <w:t>1</w:t>
      </w:r>
      <w:r w:rsidRPr="00D45F6A">
        <w:rPr>
          <w:bCs/>
          <w:sz w:val="22"/>
          <w:szCs w:val="22"/>
        </w:rPr>
        <w:t>, che Vi viene presentata per la relativa approvazione, contiene i seguenti dati riassuntivi:</w:t>
      </w:r>
    </w:p>
    <w:p w:rsidR="00F428BD" w:rsidRPr="00D45F6A" w:rsidRDefault="00F428BD" w:rsidP="00F428BD">
      <w:pPr>
        <w:pStyle w:val="Delibera"/>
        <w:tabs>
          <w:tab w:val="left" w:pos="708"/>
        </w:tabs>
        <w:spacing w:line="240" w:lineRule="auto"/>
        <w:rPr>
          <w:bCs/>
          <w:sz w:val="22"/>
          <w:szCs w:val="22"/>
        </w:rPr>
      </w:pPr>
    </w:p>
    <w:p w:rsidR="00F428BD" w:rsidRPr="00E316B1" w:rsidRDefault="00F428BD" w:rsidP="00F428BD">
      <w:pPr>
        <w:pStyle w:val="Delibera"/>
        <w:tabs>
          <w:tab w:val="clear" w:pos="2552"/>
          <w:tab w:val="clear" w:pos="3119"/>
          <w:tab w:val="clear" w:pos="3402"/>
          <w:tab w:val="left" w:pos="708"/>
          <w:tab w:val="left" w:pos="3261"/>
        </w:tabs>
        <w:spacing w:line="240" w:lineRule="auto"/>
        <w:rPr>
          <w:bCs/>
          <w:sz w:val="22"/>
          <w:szCs w:val="22"/>
        </w:rPr>
      </w:pPr>
      <w:r w:rsidRPr="00D45F6A">
        <w:rPr>
          <w:bCs/>
          <w:sz w:val="22"/>
          <w:szCs w:val="22"/>
        </w:rPr>
        <w:t>Proventi totali</w:t>
      </w:r>
      <w:r w:rsidRPr="00D45F6A">
        <w:rPr>
          <w:bCs/>
          <w:sz w:val="22"/>
          <w:szCs w:val="22"/>
        </w:rPr>
        <w:tab/>
      </w:r>
      <w:r w:rsidRPr="00D45F6A">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D45F6A">
        <w:rPr>
          <w:bCs/>
          <w:sz w:val="22"/>
          <w:szCs w:val="22"/>
        </w:rPr>
        <w:t xml:space="preserve">€ </w:t>
      </w:r>
      <w:r w:rsidRPr="00E316B1">
        <w:rPr>
          <w:bCs/>
          <w:sz w:val="22"/>
          <w:szCs w:val="22"/>
          <w:lang w:eastAsia="en-US"/>
        </w:rPr>
        <w:t>1.</w:t>
      </w:r>
      <w:r>
        <w:rPr>
          <w:bCs/>
          <w:sz w:val="22"/>
          <w:szCs w:val="22"/>
          <w:lang w:eastAsia="en-US"/>
        </w:rPr>
        <w:t>627.500</w:t>
      </w:r>
    </w:p>
    <w:p w:rsidR="00F428BD" w:rsidRPr="00D45F6A" w:rsidRDefault="00F428BD" w:rsidP="00F428BD">
      <w:pPr>
        <w:pStyle w:val="Delibera"/>
        <w:tabs>
          <w:tab w:val="left" w:pos="708"/>
        </w:tabs>
        <w:spacing w:line="240" w:lineRule="auto"/>
        <w:rPr>
          <w:bCs/>
          <w:sz w:val="22"/>
          <w:szCs w:val="22"/>
        </w:rPr>
      </w:pPr>
      <w:r w:rsidRPr="00D45F6A">
        <w:rPr>
          <w:bCs/>
          <w:sz w:val="22"/>
          <w:szCs w:val="22"/>
        </w:rPr>
        <w:t>Oneri di gestione</w:t>
      </w:r>
      <w:r w:rsidRPr="00D45F6A">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sidRPr="00D45F6A">
        <w:rPr>
          <w:bCs/>
          <w:sz w:val="22"/>
          <w:szCs w:val="22"/>
        </w:rPr>
        <w:t>€  (</w:t>
      </w:r>
      <w:proofErr w:type="gramEnd"/>
      <w:r w:rsidRPr="00D45F6A">
        <w:rPr>
          <w:bCs/>
          <w:sz w:val="22"/>
          <w:szCs w:val="22"/>
        </w:rPr>
        <w:t xml:space="preserve"> </w:t>
      </w:r>
      <w:r>
        <w:rPr>
          <w:bCs/>
          <w:sz w:val="22"/>
          <w:szCs w:val="22"/>
        </w:rPr>
        <w:t>550.000</w:t>
      </w:r>
      <w:r w:rsidRPr="00D45F6A">
        <w:rPr>
          <w:bCs/>
          <w:sz w:val="22"/>
          <w:szCs w:val="22"/>
        </w:rPr>
        <w:t>)</w:t>
      </w:r>
    </w:p>
    <w:p w:rsidR="00F428BD" w:rsidRPr="00D45F6A" w:rsidRDefault="00F428BD" w:rsidP="00F428BD">
      <w:pPr>
        <w:pStyle w:val="Delibera"/>
        <w:tabs>
          <w:tab w:val="left" w:pos="708"/>
        </w:tabs>
        <w:spacing w:line="240" w:lineRule="auto"/>
      </w:pPr>
      <w:r w:rsidRPr="00D45F6A">
        <w:rPr>
          <w:bCs/>
          <w:sz w:val="22"/>
          <w:szCs w:val="22"/>
        </w:rPr>
        <w:t>Imposte e tasse</w:t>
      </w:r>
      <w:r w:rsidRPr="00D45F6A">
        <w:rPr>
          <w:bCs/>
          <w:sz w:val="22"/>
          <w:szCs w:val="22"/>
        </w:rPr>
        <w:tab/>
      </w:r>
      <w:r w:rsidRPr="00D45F6A">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sidRPr="00D45F6A">
        <w:rPr>
          <w:bCs/>
          <w:sz w:val="22"/>
          <w:szCs w:val="22"/>
          <w:u w:val="single"/>
        </w:rPr>
        <w:t>€  (</w:t>
      </w:r>
      <w:proofErr w:type="gramEnd"/>
      <w:r w:rsidRPr="00D45F6A">
        <w:rPr>
          <w:bCs/>
          <w:sz w:val="22"/>
          <w:szCs w:val="22"/>
          <w:u w:val="single"/>
        </w:rPr>
        <w:t>210. 000)</w:t>
      </w:r>
    </w:p>
    <w:p w:rsidR="00F428BD" w:rsidRPr="00D45F6A" w:rsidRDefault="00F428BD" w:rsidP="00F428BD">
      <w:pPr>
        <w:pStyle w:val="Delibera"/>
        <w:tabs>
          <w:tab w:val="left" w:pos="708"/>
        </w:tabs>
        <w:spacing w:line="240" w:lineRule="auto"/>
        <w:rPr>
          <w:bCs/>
          <w:sz w:val="22"/>
          <w:szCs w:val="22"/>
        </w:rPr>
      </w:pPr>
      <w:r w:rsidRPr="00D45F6A">
        <w:rPr>
          <w:bCs/>
          <w:sz w:val="22"/>
          <w:szCs w:val="22"/>
        </w:rPr>
        <w:t xml:space="preserve">AVANZO PRIMARIO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D45F6A">
        <w:rPr>
          <w:bCs/>
          <w:sz w:val="22"/>
          <w:szCs w:val="22"/>
        </w:rPr>
        <w:t xml:space="preserve">€  </w:t>
      </w:r>
      <w:r>
        <w:rPr>
          <w:bCs/>
          <w:sz w:val="22"/>
          <w:szCs w:val="22"/>
        </w:rPr>
        <w:t xml:space="preserve">  867.500</w:t>
      </w:r>
    </w:p>
    <w:p w:rsidR="00F428BD" w:rsidRDefault="00F428BD" w:rsidP="00F428BD">
      <w:pPr>
        <w:pStyle w:val="Delibera"/>
        <w:tabs>
          <w:tab w:val="left" w:pos="708"/>
        </w:tabs>
        <w:spacing w:line="240" w:lineRule="auto"/>
        <w:rPr>
          <w:bCs/>
          <w:sz w:val="22"/>
          <w:szCs w:val="22"/>
        </w:rPr>
      </w:pPr>
      <w:r w:rsidRPr="00D45F6A">
        <w:rPr>
          <w:bCs/>
          <w:sz w:val="22"/>
          <w:szCs w:val="22"/>
        </w:rPr>
        <w:t>Accantonamenti</w:t>
      </w:r>
      <w:r w:rsidRPr="00D45F6A">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sidRPr="00D45F6A">
        <w:rPr>
          <w:bCs/>
          <w:sz w:val="22"/>
          <w:szCs w:val="22"/>
          <w:u w:val="single"/>
        </w:rPr>
        <w:t>€</w:t>
      </w:r>
      <w:r>
        <w:rPr>
          <w:bCs/>
          <w:sz w:val="22"/>
          <w:szCs w:val="22"/>
          <w:u w:val="single"/>
        </w:rPr>
        <w:t xml:space="preserve">  (</w:t>
      </w:r>
      <w:proofErr w:type="gramEnd"/>
      <w:r>
        <w:rPr>
          <w:bCs/>
          <w:sz w:val="22"/>
          <w:szCs w:val="22"/>
          <w:u w:val="single"/>
        </w:rPr>
        <w:t>867.500</w:t>
      </w:r>
      <w:r w:rsidRPr="00D45F6A">
        <w:rPr>
          <w:bCs/>
          <w:sz w:val="22"/>
          <w:szCs w:val="22"/>
          <w:u w:val="single"/>
        </w:rPr>
        <w:t>)</w:t>
      </w:r>
      <w:r w:rsidRPr="00D45F6A">
        <w:rPr>
          <w:bCs/>
          <w:sz w:val="22"/>
          <w:szCs w:val="22"/>
        </w:rPr>
        <w:t xml:space="preserve"> </w:t>
      </w:r>
    </w:p>
    <w:p w:rsidR="00F428BD" w:rsidRPr="00D45F6A" w:rsidRDefault="00F428BD" w:rsidP="00F428BD">
      <w:pPr>
        <w:pStyle w:val="Delibera"/>
        <w:tabs>
          <w:tab w:val="left" w:pos="708"/>
        </w:tabs>
        <w:spacing w:line="240" w:lineRule="auto"/>
        <w:rPr>
          <w:bCs/>
          <w:sz w:val="22"/>
          <w:szCs w:val="22"/>
        </w:rPr>
      </w:pPr>
      <w:r>
        <w:rPr>
          <w:bCs/>
          <w:sz w:val="22"/>
          <w:szCs w:val="22"/>
        </w:rPr>
        <w:t>AVANZO DISPONIBILE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907F03">
        <w:rPr>
          <w:bCs/>
          <w:sz w:val="22"/>
          <w:szCs w:val="22"/>
          <w:u w:val="single"/>
        </w:rPr>
        <w:t xml:space="preserve">         ZERO</w:t>
      </w:r>
    </w:p>
    <w:p w:rsidR="00F428BD" w:rsidRDefault="00F428BD" w:rsidP="00F428BD">
      <w:pPr>
        <w:pStyle w:val="Standard"/>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F428BD" w:rsidRPr="00D45F6A" w:rsidRDefault="00F428BD" w:rsidP="00F428BD">
      <w:pPr>
        <w:pStyle w:val="Standard"/>
        <w:spacing w:after="0" w:line="240" w:lineRule="auto"/>
        <w:jc w:val="both"/>
        <w:rPr>
          <w:rFonts w:ascii="Times New Roman" w:hAnsi="Times New Roman"/>
          <w:bCs/>
          <w:sz w:val="24"/>
          <w:szCs w:val="24"/>
        </w:rPr>
      </w:pPr>
      <w:r w:rsidRPr="00D45F6A">
        <w:rPr>
          <w:rFonts w:ascii="Times New Roman" w:hAnsi="Times New Roman"/>
          <w:bCs/>
          <w:sz w:val="24"/>
          <w:szCs w:val="24"/>
        </w:rPr>
        <w:t xml:space="preserve">La Proposta </w:t>
      </w:r>
      <w:proofErr w:type="gramStart"/>
      <w:r w:rsidRPr="00D45F6A">
        <w:rPr>
          <w:rFonts w:ascii="Times New Roman" w:hAnsi="Times New Roman"/>
          <w:bCs/>
          <w:sz w:val="24"/>
          <w:szCs w:val="24"/>
        </w:rPr>
        <w:t>di  Documento</w:t>
      </w:r>
      <w:proofErr w:type="gramEnd"/>
      <w:r w:rsidRPr="00D45F6A">
        <w:rPr>
          <w:rFonts w:ascii="Times New Roman" w:hAnsi="Times New Roman"/>
          <w:bCs/>
          <w:sz w:val="24"/>
          <w:szCs w:val="24"/>
        </w:rPr>
        <w:t xml:space="preserve"> P. P., redatta  dal  Consiglio di Amministrazione in ossequio all’art. 21 - comma 2  lettera d) -  dello Statuto della Fondazione, indica ai fini informativi gli impieghi e fissa i limiti di spesa con distinto riferimento alle spese di funzionamento ed a quelle direttamente destinate al perseguimento delle finalità istituzionali.</w:t>
      </w:r>
    </w:p>
    <w:p w:rsidR="00F428BD" w:rsidRPr="00D45F6A" w:rsidRDefault="00F428BD" w:rsidP="00F428BD">
      <w:pPr>
        <w:pStyle w:val="Standard"/>
        <w:spacing w:after="0" w:line="240" w:lineRule="auto"/>
        <w:jc w:val="both"/>
        <w:rPr>
          <w:rFonts w:ascii="Times New Roman" w:hAnsi="Times New Roman"/>
          <w:sz w:val="24"/>
          <w:szCs w:val="24"/>
        </w:rPr>
      </w:pPr>
    </w:p>
    <w:p w:rsidR="00F428BD" w:rsidRPr="00D45F6A" w:rsidRDefault="00F428BD" w:rsidP="00F428BD">
      <w:pPr>
        <w:pStyle w:val="Standard"/>
        <w:spacing w:after="0" w:line="240" w:lineRule="auto"/>
        <w:jc w:val="both"/>
        <w:rPr>
          <w:rFonts w:ascii="Times New Roman" w:hAnsi="Times New Roman"/>
          <w:sz w:val="24"/>
          <w:szCs w:val="24"/>
        </w:rPr>
      </w:pPr>
      <w:r w:rsidRPr="00D45F6A">
        <w:rPr>
          <w:rFonts w:ascii="Times New Roman" w:hAnsi="Times New Roman"/>
          <w:sz w:val="24"/>
          <w:szCs w:val="24"/>
        </w:rPr>
        <w:t xml:space="preserve">Il Collegio dei Sindaci conferma che la presente Proposta di Documento P. P. è </w:t>
      </w:r>
      <w:proofErr w:type="spellStart"/>
      <w:r w:rsidRPr="00D45F6A">
        <w:rPr>
          <w:rFonts w:ascii="Times New Roman" w:hAnsi="Times New Roman"/>
          <w:sz w:val="24"/>
          <w:szCs w:val="24"/>
        </w:rPr>
        <w:t>stato</w:t>
      </w:r>
      <w:proofErr w:type="spellEnd"/>
      <w:r w:rsidRPr="00D45F6A">
        <w:rPr>
          <w:rFonts w:ascii="Times New Roman" w:hAnsi="Times New Roman"/>
          <w:sz w:val="24"/>
          <w:szCs w:val="24"/>
        </w:rPr>
        <w:t xml:space="preserve"> redatta nel rispetto delle norme statutarie e della vigente normativa </w:t>
      </w:r>
      <w:proofErr w:type="gramStart"/>
      <w:r w:rsidRPr="00D45F6A">
        <w:rPr>
          <w:rFonts w:ascii="Times New Roman" w:hAnsi="Times New Roman"/>
          <w:sz w:val="24"/>
          <w:szCs w:val="24"/>
        </w:rPr>
        <w:t>regolamentare  emanata</w:t>
      </w:r>
      <w:proofErr w:type="gramEnd"/>
      <w:r w:rsidRPr="00D45F6A">
        <w:rPr>
          <w:rFonts w:ascii="Times New Roman" w:hAnsi="Times New Roman"/>
          <w:sz w:val="24"/>
          <w:szCs w:val="24"/>
        </w:rPr>
        <w:t xml:space="preserve"> per le Fondazioni Bancarie dal Ministero dell’Economia e delle Finanze.</w:t>
      </w:r>
    </w:p>
    <w:p w:rsidR="00F428BD" w:rsidRPr="00D45F6A" w:rsidRDefault="00F428BD" w:rsidP="00F428BD">
      <w:pPr>
        <w:pStyle w:val="Standard"/>
        <w:spacing w:after="0" w:line="240" w:lineRule="auto"/>
        <w:jc w:val="both"/>
        <w:rPr>
          <w:rFonts w:ascii="Times New Roman" w:hAnsi="Times New Roman"/>
          <w:sz w:val="24"/>
          <w:szCs w:val="24"/>
        </w:rPr>
      </w:pPr>
    </w:p>
    <w:p w:rsidR="00F428BD" w:rsidRPr="00C05F6A" w:rsidRDefault="00F428BD" w:rsidP="00F428BD">
      <w:pPr>
        <w:pStyle w:val="Standard"/>
        <w:tabs>
          <w:tab w:val="left" w:pos="-142"/>
          <w:tab w:val="left" w:pos="0"/>
        </w:tabs>
        <w:spacing w:after="0" w:line="240" w:lineRule="auto"/>
        <w:ind w:right="57"/>
        <w:jc w:val="both"/>
        <w:rPr>
          <w:rFonts w:ascii="Times New Roman" w:hAnsi="Times New Roman"/>
          <w:sz w:val="24"/>
          <w:szCs w:val="24"/>
        </w:rPr>
      </w:pPr>
      <w:r w:rsidRPr="00D45F6A">
        <w:rPr>
          <w:rFonts w:ascii="Times New Roman" w:hAnsi="Times New Roman"/>
          <w:sz w:val="24"/>
          <w:szCs w:val="24"/>
        </w:rPr>
        <w:t xml:space="preserve">In particolare si è tenuto conto delle indicazioni contenute nel Decreto del MEF del </w:t>
      </w:r>
      <w:proofErr w:type="gramStart"/>
      <w:r w:rsidRPr="00D45F6A">
        <w:rPr>
          <w:rFonts w:ascii="Times New Roman" w:hAnsi="Times New Roman"/>
          <w:sz w:val="24"/>
          <w:szCs w:val="24"/>
        </w:rPr>
        <w:t>18.05.2004  n.</w:t>
      </w:r>
      <w:proofErr w:type="gramEnd"/>
      <w:r w:rsidRPr="00D45F6A">
        <w:rPr>
          <w:rFonts w:ascii="Times New Roman" w:hAnsi="Times New Roman"/>
          <w:sz w:val="24"/>
          <w:szCs w:val="24"/>
        </w:rPr>
        <w:t xml:space="preserve"> 150 (regolamento in materia di disciplina delle Fondazioni Bancarie), dei Decreti del Direttore Generale del Dipartimento del Tesoro del MEF (indicazioni sulla redazione del bilancio, sulla determinazione degli accantonamenti patrimoniali e sulla copertura dei disavanzi pregressi), del D. Lgs. 153/99 (art. 8 – comma 1: destinazione dei redditi), nonché degli indirizzi </w:t>
      </w:r>
      <w:proofErr w:type="gramStart"/>
      <w:r w:rsidRPr="00D45F6A">
        <w:rPr>
          <w:rFonts w:ascii="Times New Roman" w:hAnsi="Times New Roman"/>
          <w:sz w:val="24"/>
          <w:szCs w:val="24"/>
        </w:rPr>
        <w:t>del  Piano</w:t>
      </w:r>
      <w:proofErr w:type="gramEnd"/>
      <w:r w:rsidRPr="00D45F6A">
        <w:rPr>
          <w:rFonts w:ascii="Times New Roman" w:hAnsi="Times New Roman"/>
          <w:sz w:val="24"/>
          <w:szCs w:val="24"/>
        </w:rPr>
        <w:t xml:space="preserve"> di Programmazione Pluriennale 2019-2021  definito dal Consiglio di </w:t>
      </w:r>
      <w:r>
        <w:rPr>
          <w:rFonts w:ascii="Times New Roman" w:hAnsi="Times New Roman"/>
          <w:sz w:val="24"/>
          <w:szCs w:val="24"/>
        </w:rPr>
        <w:t xml:space="preserve">Indirizzo </w:t>
      </w:r>
      <w:r w:rsidRPr="00D45F6A">
        <w:rPr>
          <w:rFonts w:ascii="Times New Roman" w:hAnsi="Times New Roman"/>
          <w:sz w:val="24"/>
          <w:szCs w:val="24"/>
        </w:rPr>
        <w:t xml:space="preserve"> dell’Ente nel</w:t>
      </w:r>
      <w:r>
        <w:rPr>
          <w:rFonts w:ascii="Times New Roman" w:hAnsi="Times New Roman"/>
          <w:sz w:val="24"/>
          <w:szCs w:val="24"/>
        </w:rPr>
        <w:t xml:space="preserve">la seduta del 26 ottobre  2018  e della relativa  Proposta di Nota di aggiornamento approvata dal  </w:t>
      </w:r>
      <w:r w:rsidRPr="00C05F6A">
        <w:rPr>
          <w:rFonts w:ascii="Times New Roman" w:hAnsi="Times New Roman"/>
          <w:sz w:val="24"/>
          <w:szCs w:val="24"/>
        </w:rPr>
        <w:t>Consiglio</w:t>
      </w:r>
      <w:r>
        <w:rPr>
          <w:rFonts w:ascii="Times New Roman" w:hAnsi="Times New Roman"/>
          <w:sz w:val="24"/>
          <w:szCs w:val="24"/>
        </w:rPr>
        <w:t xml:space="preserve"> di Amministrazione</w:t>
      </w:r>
      <w:r w:rsidRPr="00C05F6A">
        <w:rPr>
          <w:rFonts w:ascii="Times New Roman" w:hAnsi="Times New Roman"/>
          <w:sz w:val="24"/>
          <w:szCs w:val="24"/>
        </w:rPr>
        <w:t xml:space="preserve"> </w:t>
      </w:r>
      <w:r>
        <w:rPr>
          <w:rFonts w:ascii="Times New Roman" w:hAnsi="Times New Roman"/>
          <w:sz w:val="24"/>
          <w:szCs w:val="24"/>
        </w:rPr>
        <w:t>nella</w:t>
      </w:r>
      <w:r w:rsidRPr="00C05F6A">
        <w:rPr>
          <w:rFonts w:ascii="Times New Roman" w:hAnsi="Times New Roman"/>
          <w:sz w:val="24"/>
          <w:szCs w:val="24"/>
        </w:rPr>
        <w:t xml:space="preserve"> seduta del 2</w:t>
      </w:r>
      <w:r>
        <w:rPr>
          <w:rFonts w:ascii="Times New Roman" w:hAnsi="Times New Roman"/>
          <w:sz w:val="24"/>
          <w:szCs w:val="24"/>
        </w:rPr>
        <w:t xml:space="preserve">9 </w:t>
      </w:r>
      <w:r w:rsidRPr="00C05F6A">
        <w:rPr>
          <w:rFonts w:ascii="Times New Roman" w:hAnsi="Times New Roman"/>
          <w:sz w:val="24"/>
          <w:szCs w:val="24"/>
        </w:rPr>
        <w:t>settembre 20</w:t>
      </w:r>
      <w:r>
        <w:rPr>
          <w:rFonts w:ascii="Times New Roman" w:hAnsi="Times New Roman"/>
          <w:sz w:val="24"/>
          <w:szCs w:val="24"/>
        </w:rPr>
        <w:t>20 avente all’ordine del giorno il Documento Programmatico Previsionale anno 2021.</w:t>
      </w:r>
    </w:p>
    <w:p w:rsidR="00F428BD" w:rsidRPr="00D45F6A" w:rsidRDefault="00F428BD" w:rsidP="00F428BD">
      <w:pPr>
        <w:pStyle w:val="Corpodeltesto2"/>
        <w:spacing w:line="240" w:lineRule="auto"/>
        <w:rPr>
          <w:b w:val="0"/>
          <w:bCs w:val="0"/>
        </w:rPr>
      </w:pPr>
    </w:p>
    <w:p w:rsidR="00F428BD" w:rsidRPr="00D45F6A" w:rsidRDefault="00F428BD" w:rsidP="00F428BD">
      <w:pPr>
        <w:pStyle w:val="Corpodeltesto2"/>
        <w:spacing w:line="240" w:lineRule="auto"/>
      </w:pPr>
      <w:r w:rsidRPr="00D45F6A">
        <w:rPr>
          <w:b w:val="0"/>
          <w:bCs w:val="0"/>
        </w:rPr>
        <w:t>In merito ai dati della Proposta di Documento P. P.  il Collegio, nel prendere atto che le somme disponibili per l’esercizio dell’attività istituzionale</w:t>
      </w:r>
      <w:r>
        <w:rPr>
          <w:b w:val="0"/>
          <w:bCs w:val="0"/>
        </w:rPr>
        <w:t xml:space="preserve"> dell’Ente </w:t>
      </w:r>
      <w:proofErr w:type="gramStart"/>
      <w:r>
        <w:rPr>
          <w:b w:val="0"/>
          <w:bCs w:val="0"/>
        </w:rPr>
        <w:t>risultano  pari</w:t>
      </w:r>
      <w:proofErr w:type="gramEnd"/>
      <w:r>
        <w:rPr>
          <w:b w:val="0"/>
          <w:bCs w:val="0"/>
        </w:rPr>
        <w:t xml:space="preserve"> a 503.150</w:t>
      </w:r>
      <w:r w:rsidRPr="00D45F6A">
        <w:rPr>
          <w:b w:val="0"/>
          <w:bCs w:val="0"/>
          <w:iCs/>
        </w:rPr>
        <w:t xml:space="preserve"> </w:t>
      </w:r>
      <w:r w:rsidRPr="00D45F6A">
        <w:rPr>
          <w:b w:val="0"/>
          <w:bCs w:val="0"/>
        </w:rPr>
        <w:t>euro, rileva nel dettaglio quanto segue:</w:t>
      </w:r>
    </w:p>
    <w:p w:rsidR="00F428BD" w:rsidRPr="00D45F6A" w:rsidRDefault="00F428BD" w:rsidP="00F428BD">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D45F6A">
        <w:rPr>
          <w:rFonts w:ascii="Times New Roman" w:hAnsi="Times New Roman"/>
          <w:bCs/>
          <w:sz w:val="24"/>
          <w:szCs w:val="24"/>
        </w:rPr>
        <w:t xml:space="preserve">i dividendi previsti dalla partecipazione nel capitale della Cassa Depositi e Prestiti S.p.A. (€ </w:t>
      </w:r>
      <w:r>
        <w:rPr>
          <w:rFonts w:ascii="Times New Roman" w:hAnsi="Times New Roman"/>
          <w:bCs/>
          <w:sz w:val="24"/>
          <w:szCs w:val="24"/>
        </w:rPr>
        <w:t>500.000</w:t>
      </w:r>
      <w:r w:rsidRPr="00E316B1">
        <w:rPr>
          <w:rFonts w:ascii="Times New Roman" w:hAnsi="Times New Roman"/>
          <w:bCs/>
          <w:sz w:val="24"/>
          <w:szCs w:val="24"/>
        </w:rPr>
        <w:t>)</w:t>
      </w:r>
      <w:r w:rsidRPr="00D45F6A">
        <w:rPr>
          <w:rFonts w:ascii="Times New Roman" w:hAnsi="Times New Roman"/>
          <w:bCs/>
          <w:sz w:val="24"/>
          <w:szCs w:val="24"/>
        </w:rPr>
        <w:t xml:space="preserve"> sono stati prudentemente valutati sulla base degli importi distribuiti nei più recenti esercizi e dei risultati della semestrale di C.D.P. al </w:t>
      </w:r>
      <w:r w:rsidRPr="00E316B1">
        <w:rPr>
          <w:rFonts w:ascii="Times New Roman" w:hAnsi="Times New Roman"/>
          <w:bCs/>
          <w:sz w:val="24"/>
          <w:szCs w:val="24"/>
        </w:rPr>
        <w:t>30.06.2020;</w:t>
      </w:r>
    </w:p>
    <w:p w:rsidR="00F428BD" w:rsidRPr="00D45F6A" w:rsidRDefault="00F428BD" w:rsidP="00F428BD">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D45F6A">
        <w:rPr>
          <w:rFonts w:ascii="Times New Roman" w:hAnsi="Times New Roman"/>
          <w:bCs/>
          <w:sz w:val="24"/>
          <w:szCs w:val="24"/>
        </w:rPr>
        <w:lastRenderedPageBreak/>
        <w:t xml:space="preserve">i proventi derivanti dalla gestione patrimoniale </w:t>
      </w:r>
      <w:r>
        <w:rPr>
          <w:rFonts w:ascii="Times New Roman" w:hAnsi="Times New Roman"/>
          <w:bCs/>
          <w:sz w:val="24"/>
          <w:szCs w:val="24"/>
        </w:rPr>
        <w:t>sono stati valutati in € 1.050.000</w:t>
      </w:r>
      <w:r w:rsidRPr="00D45F6A">
        <w:rPr>
          <w:rFonts w:ascii="Times New Roman" w:hAnsi="Times New Roman"/>
          <w:bCs/>
          <w:sz w:val="24"/>
          <w:szCs w:val="24"/>
        </w:rPr>
        <w:t xml:space="preserve">, con riferimento </w:t>
      </w:r>
      <w:proofErr w:type="gramStart"/>
      <w:r w:rsidRPr="00D45F6A">
        <w:rPr>
          <w:rFonts w:ascii="Times New Roman" w:hAnsi="Times New Roman"/>
          <w:bCs/>
          <w:sz w:val="24"/>
          <w:szCs w:val="24"/>
        </w:rPr>
        <w:t>ad  una</w:t>
      </w:r>
      <w:proofErr w:type="gramEnd"/>
      <w:r w:rsidRPr="00D45F6A">
        <w:rPr>
          <w:rFonts w:ascii="Times New Roman" w:hAnsi="Times New Roman"/>
          <w:bCs/>
          <w:sz w:val="24"/>
          <w:szCs w:val="24"/>
        </w:rPr>
        <w:t xml:space="preserve"> consisten</w:t>
      </w:r>
      <w:r>
        <w:rPr>
          <w:rFonts w:ascii="Times New Roman" w:hAnsi="Times New Roman"/>
          <w:bCs/>
          <w:sz w:val="24"/>
          <w:szCs w:val="24"/>
        </w:rPr>
        <w:t xml:space="preserve">za media patrimoniale di € </w:t>
      </w:r>
      <w:r w:rsidRPr="00243B2F">
        <w:rPr>
          <w:rFonts w:ascii="Times New Roman" w:hAnsi="Times New Roman"/>
          <w:bCs/>
          <w:sz w:val="24"/>
          <w:szCs w:val="24"/>
        </w:rPr>
        <w:t>4</w:t>
      </w:r>
      <w:r>
        <w:rPr>
          <w:rFonts w:ascii="Times New Roman" w:hAnsi="Times New Roman"/>
          <w:bCs/>
          <w:sz w:val="24"/>
          <w:szCs w:val="24"/>
        </w:rPr>
        <w:t>1.501.000</w:t>
      </w:r>
      <w:r w:rsidRPr="00243B2F">
        <w:rPr>
          <w:rFonts w:ascii="Times New Roman" w:hAnsi="Times New Roman"/>
          <w:bCs/>
          <w:sz w:val="24"/>
          <w:szCs w:val="24"/>
        </w:rPr>
        <w:t>,</w:t>
      </w:r>
      <w:r w:rsidRPr="00D45F6A">
        <w:rPr>
          <w:rFonts w:ascii="Times New Roman" w:hAnsi="Times New Roman"/>
          <w:bCs/>
          <w:sz w:val="24"/>
          <w:szCs w:val="24"/>
        </w:rPr>
        <w:t xml:space="preserve"> valutazione basata sulle prospettive di mercato nel medio termine e sulla stima dei rendimenti formulata </w:t>
      </w:r>
      <w:proofErr w:type="spellStart"/>
      <w:r w:rsidRPr="00D45F6A">
        <w:rPr>
          <w:rFonts w:ascii="Times New Roman" w:hAnsi="Times New Roman"/>
          <w:bCs/>
          <w:sz w:val="24"/>
          <w:szCs w:val="24"/>
        </w:rPr>
        <w:t>dall’</w:t>
      </w:r>
      <w:r w:rsidRPr="00D45F6A">
        <w:rPr>
          <w:rFonts w:ascii="Times New Roman" w:hAnsi="Times New Roman"/>
          <w:bCs/>
          <w:i/>
          <w:sz w:val="24"/>
          <w:szCs w:val="24"/>
        </w:rPr>
        <w:t>advisor</w:t>
      </w:r>
      <w:proofErr w:type="spellEnd"/>
      <w:r w:rsidRPr="00D45F6A">
        <w:rPr>
          <w:rFonts w:ascii="Times New Roman" w:hAnsi="Times New Roman"/>
          <w:bCs/>
          <w:sz w:val="24"/>
          <w:szCs w:val="24"/>
        </w:rPr>
        <w:t>;</w:t>
      </w:r>
    </w:p>
    <w:p w:rsidR="00F428BD" w:rsidRPr="00D45F6A" w:rsidRDefault="00F428BD" w:rsidP="00F428BD">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D45F6A">
        <w:rPr>
          <w:rFonts w:ascii="Times New Roman" w:hAnsi="Times New Roman"/>
          <w:bCs/>
          <w:sz w:val="24"/>
          <w:szCs w:val="24"/>
        </w:rPr>
        <w:t>il risultato di esercizio dell’impresa strumentale direttamente esercit</w:t>
      </w:r>
      <w:r>
        <w:rPr>
          <w:rFonts w:ascii="Times New Roman" w:hAnsi="Times New Roman"/>
          <w:bCs/>
          <w:sz w:val="24"/>
          <w:szCs w:val="24"/>
        </w:rPr>
        <w:t xml:space="preserve">ata è stato quantificato in      </w:t>
      </w:r>
      <w:proofErr w:type="gramStart"/>
      <w:r>
        <w:rPr>
          <w:rFonts w:ascii="Times New Roman" w:hAnsi="Times New Roman"/>
          <w:bCs/>
          <w:sz w:val="24"/>
          <w:szCs w:val="24"/>
        </w:rPr>
        <w:t xml:space="preserve">€ </w:t>
      </w:r>
      <w:r w:rsidRPr="00D45F6A">
        <w:rPr>
          <w:rFonts w:ascii="Times New Roman" w:hAnsi="Times New Roman"/>
          <w:bCs/>
          <w:sz w:val="24"/>
          <w:szCs w:val="24"/>
        </w:rPr>
        <w:t xml:space="preserve"> 50.000</w:t>
      </w:r>
      <w:proofErr w:type="gramEnd"/>
      <w:r w:rsidRPr="00D45F6A">
        <w:rPr>
          <w:rFonts w:ascii="Times New Roman" w:hAnsi="Times New Roman"/>
          <w:bCs/>
          <w:sz w:val="24"/>
          <w:szCs w:val="24"/>
        </w:rPr>
        <w:t>;</w:t>
      </w:r>
    </w:p>
    <w:p w:rsidR="00F428BD" w:rsidRPr="00D45F6A" w:rsidRDefault="00F428BD" w:rsidP="00F428BD">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D45F6A">
        <w:rPr>
          <w:rFonts w:ascii="Times New Roman" w:hAnsi="Times New Roman"/>
          <w:bCs/>
          <w:sz w:val="24"/>
          <w:szCs w:val="24"/>
        </w:rPr>
        <w:t>gli interess</w:t>
      </w:r>
      <w:r>
        <w:rPr>
          <w:rFonts w:ascii="Times New Roman" w:hAnsi="Times New Roman"/>
          <w:bCs/>
          <w:sz w:val="24"/>
          <w:szCs w:val="24"/>
        </w:rPr>
        <w:t>i lordi da depositi bancari (€ 1.0</w:t>
      </w:r>
      <w:r w:rsidRPr="00D45F6A">
        <w:rPr>
          <w:rFonts w:ascii="Times New Roman" w:hAnsi="Times New Roman"/>
          <w:bCs/>
          <w:sz w:val="24"/>
          <w:szCs w:val="24"/>
        </w:rPr>
        <w:t xml:space="preserve">00) sono stati stimati sulla base di una giacenza media sui c/c di corrispondenza intestati all’Ente, tenendo conto del </w:t>
      </w:r>
      <w:proofErr w:type="gramStart"/>
      <w:r w:rsidRPr="00D45F6A">
        <w:rPr>
          <w:rFonts w:ascii="Times New Roman" w:hAnsi="Times New Roman"/>
          <w:bCs/>
          <w:sz w:val="24"/>
          <w:szCs w:val="24"/>
        </w:rPr>
        <w:t>tasso  attualmente</w:t>
      </w:r>
      <w:proofErr w:type="gramEnd"/>
      <w:r w:rsidRPr="00D45F6A">
        <w:rPr>
          <w:rFonts w:ascii="Times New Roman" w:hAnsi="Times New Roman"/>
          <w:bCs/>
          <w:sz w:val="24"/>
          <w:szCs w:val="24"/>
        </w:rPr>
        <w:t xml:space="preserve"> praticato;</w:t>
      </w:r>
    </w:p>
    <w:p w:rsidR="00F428BD" w:rsidRPr="00D45F6A" w:rsidRDefault="00F428BD" w:rsidP="00F428BD">
      <w:pPr>
        <w:pStyle w:val="Standard"/>
        <w:numPr>
          <w:ilvl w:val="0"/>
          <w:numId w:val="8"/>
        </w:numPr>
        <w:tabs>
          <w:tab w:val="left" w:pos="360"/>
        </w:tabs>
        <w:spacing w:after="0" w:line="240" w:lineRule="auto"/>
        <w:ind w:left="284" w:hanging="284"/>
        <w:jc w:val="both"/>
        <w:rPr>
          <w:rFonts w:ascii="Times New Roman" w:hAnsi="Times New Roman"/>
          <w:sz w:val="24"/>
          <w:szCs w:val="24"/>
        </w:rPr>
      </w:pPr>
      <w:r w:rsidRPr="00D45F6A">
        <w:rPr>
          <w:rFonts w:ascii="Times New Roman" w:hAnsi="Times New Roman"/>
          <w:bCs/>
          <w:sz w:val="24"/>
          <w:szCs w:val="24"/>
        </w:rPr>
        <w:t xml:space="preserve">nella valutazione </w:t>
      </w:r>
      <w:r>
        <w:rPr>
          <w:rFonts w:ascii="Times New Roman" w:hAnsi="Times New Roman"/>
          <w:bCs/>
          <w:sz w:val="24"/>
          <w:szCs w:val="24"/>
        </w:rPr>
        <w:t>degli oneri di gestione di € 550.000</w:t>
      </w:r>
      <w:r w:rsidRPr="00D45F6A">
        <w:rPr>
          <w:rFonts w:ascii="Times New Roman" w:hAnsi="Times New Roman"/>
          <w:bCs/>
          <w:sz w:val="24"/>
          <w:szCs w:val="24"/>
        </w:rPr>
        <w:t xml:space="preserve"> sono stati  applicati i principi della prudenza e della competenza economica, nonché i corretti principi contabili, tenendo conto delle esigenze in ordine al funzionamento dell’Ente (costi  generali di amministrazione e costi del personale dipendente) e dei suoi Organi istituzionali, delle consulenze e collaborazioni esterne, delle commissioni delle gestioni patrimoniali, delle quote di ammortamento dei beni ammortizzabili e degli oneri diversi di gestione;</w:t>
      </w:r>
    </w:p>
    <w:p w:rsidR="00F428BD" w:rsidRPr="003312D2" w:rsidRDefault="00F428BD" w:rsidP="00F428BD">
      <w:pPr>
        <w:pStyle w:val="Standard"/>
        <w:numPr>
          <w:ilvl w:val="0"/>
          <w:numId w:val="8"/>
        </w:numPr>
        <w:tabs>
          <w:tab w:val="left" w:pos="360"/>
        </w:tabs>
        <w:spacing w:after="0" w:line="240" w:lineRule="auto"/>
        <w:ind w:left="284" w:hanging="284"/>
        <w:jc w:val="both"/>
        <w:rPr>
          <w:rFonts w:ascii="Times New Roman" w:hAnsi="Times New Roman"/>
          <w:bCs/>
          <w:color w:val="000000"/>
          <w:sz w:val="24"/>
          <w:szCs w:val="24"/>
        </w:rPr>
      </w:pPr>
      <w:r w:rsidRPr="003312D2">
        <w:rPr>
          <w:rFonts w:ascii="Times New Roman" w:hAnsi="Times New Roman"/>
          <w:bCs/>
          <w:sz w:val="24"/>
          <w:szCs w:val="24"/>
        </w:rPr>
        <w:t xml:space="preserve">gli oneri tributari nel settore delle imposte e delle </w:t>
      </w:r>
      <w:proofErr w:type="gramStart"/>
      <w:r w:rsidRPr="003312D2">
        <w:rPr>
          <w:rFonts w:ascii="Times New Roman" w:hAnsi="Times New Roman"/>
          <w:bCs/>
          <w:sz w:val="24"/>
          <w:szCs w:val="24"/>
        </w:rPr>
        <w:t>tasse  (</w:t>
      </w:r>
      <w:proofErr w:type="gramEnd"/>
      <w:r w:rsidRPr="003312D2">
        <w:rPr>
          <w:rFonts w:ascii="Times New Roman" w:hAnsi="Times New Roman"/>
          <w:bCs/>
          <w:sz w:val="24"/>
          <w:szCs w:val="24"/>
        </w:rPr>
        <w:t>€ 210.000) sono stati calcolati in base alla previsione degli imponibili fiscali ed alla normativa vigente</w:t>
      </w:r>
      <w:r>
        <w:rPr>
          <w:rFonts w:ascii="Times New Roman" w:hAnsi="Times New Roman"/>
          <w:bCs/>
          <w:sz w:val="24"/>
          <w:szCs w:val="24"/>
        </w:rPr>
        <w:t>.</w:t>
      </w:r>
    </w:p>
    <w:p w:rsidR="00F428BD" w:rsidRPr="003312D2" w:rsidRDefault="00F428BD" w:rsidP="00F428BD">
      <w:pPr>
        <w:pStyle w:val="Standard"/>
        <w:tabs>
          <w:tab w:val="left" w:pos="360"/>
        </w:tabs>
        <w:spacing w:after="0" w:line="240" w:lineRule="auto"/>
        <w:ind w:left="284"/>
        <w:jc w:val="both"/>
        <w:rPr>
          <w:rFonts w:ascii="Times New Roman" w:hAnsi="Times New Roman"/>
          <w:bCs/>
          <w:color w:val="000000"/>
          <w:sz w:val="24"/>
          <w:szCs w:val="24"/>
        </w:rPr>
      </w:pPr>
    </w:p>
    <w:p w:rsidR="00F428BD" w:rsidRDefault="00F428BD" w:rsidP="00F428BD">
      <w:pPr>
        <w:pStyle w:val="Standard"/>
        <w:tabs>
          <w:tab w:val="left" w:pos="360"/>
        </w:tabs>
        <w:spacing w:after="0" w:line="240" w:lineRule="auto"/>
        <w:jc w:val="both"/>
        <w:rPr>
          <w:rFonts w:ascii="Times New Roman" w:hAnsi="Times New Roman"/>
          <w:bCs/>
          <w:color w:val="000000"/>
          <w:sz w:val="24"/>
          <w:szCs w:val="24"/>
        </w:rPr>
      </w:pPr>
      <w:r w:rsidRPr="00D45F6A">
        <w:rPr>
          <w:rFonts w:ascii="Times New Roman" w:hAnsi="Times New Roman"/>
          <w:bCs/>
          <w:color w:val="000000"/>
          <w:sz w:val="24"/>
          <w:szCs w:val="24"/>
        </w:rPr>
        <w:t>Per quanto riguarda gli accantonamenti:</w:t>
      </w:r>
    </w:p>
    <w:p w:rsidR="00F428BD" w:rsidRPr="00D45F6A" w:rsidRDefault="00F428BD" w:rsidP="00F428BD">
      <w:pPr>
        <w:pStyle w:val="Standard"/>
        <w:numPr>
          <w:ilvl w:val="0"/>
          <w:numId w:val="35"/>
        </w:numPr>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una quota di € 216.875, pari al 25% dell’avanzo primario dell’esercizio di € 867.500 è stata destinata alla copertura dei disavanzi pregressi </w:t>
      </w:r>
      <w:r w:rsidRPr="00D45F6A">
        <w:rPr>
          <w:rFonts w:ascii="Times New Roman" w:hAnsi="Times New Roman"/>
          <w:sz w:val="24"/>
          <w:szCs w:val="24"/>
        </w:rPr>
        <w:t>secondo quanto stabilito dai Decreti del Direttore Generale del Dipartimento del Tesoro del MEF</w:t>
      </w:r>
    </w:p>
    <w:p w:rsidR="00F428BD" w:rsidRPr="00D45F6A" w:rsidRDefault="00F428BD" w:rsidP="00F428BD">
      <w:pPr>
        <w:pStyle w:val="Standard"/>
        <w:numPr>
          <w:ilvl w:val="0"/>
          <w:numId w:val="35"/>
        </w:numPr>
        <w:spacing w:after="0" w:line="240" w:lineRule="auto"/>
        <w:ind w:left="284" w:hanging="284"/>
        <w:jc w:val="both"/>
        <w:rPr>
          <w:rFonts w:ascii="Times New Roman" w:hAnsi="Times New Roman"/>
          <w:bCs/>
          <w:sz w:val="24"/>
          <w:szCs w:val="24"/>
        </w:rPr>
      </w:pPr>
      <w:r>
        <w:rPr>
          <w:rFonts w:ascii="Times New Roman" w:hAnsi="Times New Roman"/>
          <w:sz w:val="24"/>
          <w:szCs w:val="24"/>
        </w:rPr>
        <w:t xml:space="preserve">una quota di € 130.125 </w:t>
      </w:r>
      <w:r w:rsidRPr="00D45F6A">
        <w:rPr>
          <w:rFonts w:ascii="Times New Roman" w:hAnsi="Times New Roman"/>
          <w:sz w:val="24"/>
          <w:szCs w:val="24"/>
        </w:rPr>
        <w:t>pari al 20</w:t>
      </w:r>
      <w:proofErr w:type="gramStart"/>
      <w:r w:rsidRPr="00D45F6A">
        <w:rPr>
          <w:rFonts w:ascii="Times New Roman" w:hAnsi="Times New Roman"/>
          <w:sz w:val="24"/>
          <w:szCs w:val="24"/>
        </w:rPr>
        <w:t>%  dell’avanzo</w:t>
      </w:r>
      <w:proofErr w:type="gramEnd"/>
      <w:r w:rsidRPr="00D45F6A">
        <w:rPr>
          <w:rFonts w:ascii="Times New Roman" w:hAnsi="Times New Roman"/>
          <w:sz w:val="24"/>
          <w:szCs w:val="24"/>
        </w:rPr>
        <w:t xml:space="preserve">  primario de</w:t>
      </w:r>
      <w:r>
        <w:rPr>
          <w:rFonts w:ascii="Times New Roman" w:hAnsi="Times New Roman"/>
          <w:sz w:val="24"/>
          <w:szCs w:val="24"/>
        </w:rPr>
        <w:t xml:space="preserve">ll’esercizio di € </w:t>
      </w:r>
      <w:r>
        <w:rPr>
          <w:rFonts w:ascii="Times New Roman" w:hAnsi="Times New Roman"/>
          <w:bCs/>
          <w:color w:val="000000"/>
          <w:sz w:val="24"/>
          <w:szCs w:val="24"/>
        </w:rPr>
        <w:t>867.500</w:t>
      </w:r>
      <w:r>
        <w:rPr>
          <w:rFonts w:ascii="Times New Roman" w:hAnsi="Times New Roman"/>
          <w:sz w:val="24"/>
          <w:szCs w:val="24"/>
        </w:rPr>
        <w:t>,</w:t>
      </w:r>
      <w:r w:rsidRPr="00D45F6A">
        <w:rPr>
          <w:rFonts w:ascii="Times New Roman" w:hAnsi="Times New Roman"/>
          <w:sz w:val="24"/>
          <w:szCs w:val="24"/>
        </w:rPr>
        <w:t xml:space="preserve"> è stata </w:t>
      </w:r>
      <w:r>
        <w:rPr>
          <w:rFonts w:ascii="Times New Roman" w:hAnsi="Times New Roman"/>
          <w:sz w:val="24"/>
          <w:szCs w:val="24"/>
        </w:rPr>
        <w:t>d</w:t>
      </w:r>
      <w:r w:rsidRPr="00D45F6A">
        <w:rPr>
          <w:rFonts w:ascii="Times New Roman" w:hAnsi="Times New Roman"/>
          <w:sz w:val="24"/>
          <w:szCs w:val="24"/>
        </w:rPr>
        <w:t>estinata alla riserva obbligatoria,</w:t>
      </w:r>
      <w:r>
        <w:rPr>
          <w:rFonts w:ascii="Times New Roman" w:hAnsi="Times New Roman"/>
          <w:sz w:val="24"/>
          <w:szCs w:val="24"/>
        </w:rPr>
        <w:t xml:space="preserve"> al netto della destinazione di cui al precedente punto,</w:t>
      </w:r>
      <w:r w:rsidRPr="00D45F6A">
        <w:rPr>
          <w:rFonts w:ascii="Times New Roman" w:hAnsi="Times New Roman"/>
          <w:sz w:val="24"/>
          <w:szCs w:val="24"/>
        </w:rPr>
        <w:t xml:space="preserve"> secondo quanto stabilito dai Decreti del Direttore Generale del Dipartimento del Tesoro del MEF;</w:t>
      </w:r>
    </w:p>
    <w:p w:rsidR="00F428BD" w:rsidRPr="00D45F6A" w:rsidRDefault="00F428BD" w:rsidP="00F428BD">
      <w:pPr>
        <w:pStyle w:val="Standard"/>
        <w:numPr>
          <w:ilvl w:val="0"/>
          <w:numId w:val="35"/>
        </w:numPr>
        <w:spacing w:after="0" w:line="240" w:lineRule="auto"/>
        <w:ind w:left="284" w:hanging="284"/>
        <w:jc w:val="both"/>
        <w:rPr>
          <w:rFonts w:ascii="Times New Roman" w:hAnsi="Times New Roman"/>
          <w:bCs/>
          <w:sz w:val="24"/>
          <w:szCs w:val="24"/>
        </w:rPr>
      </w:pPr>
      <w:r w:rsidRPr="00D45F6A">
        <w:rPr>
          <w:rFonts w:ascii="Times New Roman" w:hAnsi="Times New Roman"/>
          <w:bCs/>
          <w:sz w:val="24"/>
          <w:szCs w:val="24"/>
        </w:rPr>
        <w:t xml:space="preserve">al Fondo Unico Nazionale (FUN) è stata </w:t>
      </w:r>
      <w:r>
        <w:rPr>
          <w:rFonts w:ascii="Times New Roman" w:hAnsi="Times New Roman"/>
          <w:bCs/>
          <w:sz w:val="24"/>
          <w:szCs w:val="24"/>
        </w:rPr>
        <w:t>accantonata la somma di € 17.350</w:t>
      </w:r>
      <w:r w:rsidRPr="00D45F6A">
        <w:rPr>
          <w:rFonts w:ascii="Times New Roman" w:hAnsi="Times New Roman"/>
          <w:bCs/>
          <w:sz w:val="24"/>
          <w:szCs w:val="24"/>
        </w:rPr>
        <w:t xml:space="preserve"> in base a quanto previsto dall’art. 62, comma 3, del D. Lgs. 117/17;</w:t>
      </w:r>
    </w:p>
    <w:p w:rsidR="00F428BD" w:rsidRPr="00D82722" w:rsidRDefault="00F428BD" w:rsidP="00F428BD">
      <w:pPr>
        <w:pStyle w:val="Corpodeltesto2"/>
        <w:numPr>
          <w:ilvl w:val="1"/>
          <w:numId w:val="30"/>
        </w:numPr>
        <w:spacing w:line="240" w:lineRule="auto"/>
        <w:ind w:left="284" w:hanging="284"/>
        <w:rPr>
          <w:b w:val="0"/>
          <w:bCs w:val="0"/>
        </w:rPr>
      </w:pPr>
      <w:r w:rsidRPr="00D45F6A">
        <w:rPr>
          <w:b w:val="0"/>
          <w:bCs w:val="0"/>
        </w:rPr>
        <w:t xml:space="preserve">al </w:t>
      </w:r>
      <w:r w:rsidRPr="00D82722">
        <w:rPr>
          <w:b w:val="0"/>
          <w:bCs w:val="0"/>
        </w:rPr>
        <w:t>Fondo per Interventi Istituzionali è stata destinata la somma di € 50</w:t>
      </w:r>
      <w:r>
        <w:rPr>
          <w:b w:val="0"/>
          <w:bCs w:val="0"/>
        </w:rPr>
        <w:t>3.150</w:t>
      </w:r>
      <w:r w:rsidRPr="00D82722">
        <w:rPr>
          <w:b w:val="0"/>
          <w:bCs w:val="0"/>
        </w:rPr>
        <w:t xml:space="preserve">, a completo utilizzo dell’Avanzo Disponibile dell’esercizio dopo i predetti </w:t>
      </w:r>
      <w:proofErr w:type="gramStart"/>
      <w:r w:rsidRPr="00D82722">
        <w:rPr>
          <w:b w:val="0"/>
          <w:bCs w:val="0"/>
        </w:rPr>
        <w:t>accantonamenti ,</w:t>
      </w:r>
      <w:proofErr w:type="gramEnd"/>
      <w:r w:rsidRPr="00D82722">
        <w:rPr>
          <w:b w:val="0"/>
          <w:bCs w:val="0"/>
        </w:rPr>
        <w:t xml:space="preserve"> di cui: € 1.562 </w:t>
      </w:r>
      <w:r w:rsidRPr="00D82722">
        <w:rPr>
          <w:b w:val="0"/>
        </w:rPr>
        <w:t>al Fondo Nazionale Iniziative Comuni delle Fondazioni pari allo 0,3% dell’avanzo primario dell’esercizio al netto degli accantonamenti a riserve patrimoniali, secondo le indicazioni ricevute da parte dell’ACRI;</w:t>
      </w:r>
    </w:p>
    <w:p w:rsidR="00F428BD" w:rsidRDefault="00F428BD" w:rsidP="00F428BD">
      <w:pPr>
        <w:pStyle w:val="Corpodeltesto2"/>
        <w:numPr>
          <w:ilvl w:val="1"/>
          <w:numId w:val="30"/>
        </w:numPr>
        <w:spacing w:line="240" w:lineRule="auto"/>
        <w:ind w:left="284" w:hanging="284"/>
        <w:rPr>
          <w:b w:val="0"/>
          <w:bCs w:val="0"/>
        </w:rPr>
      </w:pPr>
      <w:r w:rsidRPr="00D45F6A">
        <w:rPr>
          <w:b w:val="0"/>
          <w:bCs w:val="0"/>
        </w:rPr>
        <w:t>non sono stati prev</w:t>
      </w:r>
      <w:r>
        <w:rPr>
          <w:b w:val="0"/>
          <w:bCs w:val="0"/>
        </w:rPr>
        <w:t>isti accantonamenti facoltativi.</w:t>
      </w:r>
    </w:p>
    <w:p w:rsidR="00F428BD" w:rsidRPr="00D45F6A" w:rsidRDefault="00F428BD" w:rsidP="00F428BD">
      <w:pPr>
        <w:pStyle w:val="Normale2"/>
        <w:tabs>
          <w:tab w:val="clear" w:pos="284"/>
          <w:tab w:val="left" w:pos="708"/>
        </w:tabs>
        <w:spacing w:after="240"/>
        <w:ind w:left="284" w:hanging="284"/>
        <w:rPr>
          <w:rFonts w:ascii="Times New Roman" w:hAnsi="Times New Roman"/>
          <w:bCs/>
          <w:szCs w:val="24"/>
        </w:rPr>
      </w:pPr>
    </w:p>
    <w:p w:rsidR="00F428BD" w:rsidRPr="00447211" w:rsidRDefault="00F428BD" w:rsidP="00F428BD">
      <w:pPr>
        <w:pStyle w:val="Normale2"/>
        <w:tabs>
          <w:tab w:val="clear" w:pos="284"/>
          <w:tab w:val="left" w:pos="708"/>
        </w:tabs>
        <w:spacing w:after="240"/>
        <w:rPr>
          <w:rFonts w:ascii="Times New Roman" w:hAnsi="Times New Roman"/>
          <w:bCs/>
          <w:szCs w:val="24"/>
        </w:rPr>
      </w:pPr>
      <w:r w:rsidRPr="00D45F6A">
        <w:rPr>
          <w:rFonts w:ascii="Times New Roman" w:hAnsi="Times New Roman"/>
          <w:bCs/>
          <w:szCs w:val="24"/>
        </w:rPr>
        <w:t xml:space="preserve">In merito all’attività istituzionale, il Collegio dà atto che la Proposta </w:t>
      </w:r>
      <w:proofErr w:type="gramStart"/>
      <w:r w:rsidRPr="00D45F6A">
        <w:rPr>
          <w:rFonts w:ascii="Times New Roman" w:hAnsi="Times New Roman"/>
          <w:bCs/>
          <w:szCs w:val="24"/>
        </w:rPr>
        <w:t>di  Documento</w:t>
      </w:r>
      <w:proofErr w:type="gramEnd"/>
      <w:r w:rsidRPr="00D45F6A">
        <w:rPr>
          <w:rFonts w:ascii="Times New Roman" w:hAnsi="Times New Roman"/>
          <w:bCs/>
          <w:szCs w:val="24"/>
        </w:rPr>
        <w:t xml:space="preserve"> P. P. è stata redatta nel rispetto dello Statuto dell’Ente,  delle norme contenute nel Regolamento di erogazione, tenendo altresì conto degli impegni assunti. In particolare è stato definito il piano organico di intervento e sono </w:t>
      </w:r>
      <w:proofErr w:type="gramStart"/>
      <w:r w:rsidRPr="00D45F6A">
        <w:rPr>
          <w:rFonts w:ascii="Times New Roman" w:hAnsi="Times New Roman"/>
          <w:bCs/>
          <w:szCs w:val="24"/>
        </w:rPr>
        <w:t>state  individuate</w:t>
      </w:r>
      <w:proofErr w:type="gramEnd"/>
      <w:r w:rsidRPr="00D45F6A">
        <w:rPr>
          <w:rFonts w:ascii="Times New Roman" w:hAnsi="Times New Roman"/>
          <w:bCs/>
          <w:szCs w:val="24"/>
        </w:rPr>
        <w:t xml:space="preserve"> le linee programmatiche, unitamente al progetto di ripartizione delle risorse disponibili tra i diversi settori rilevanti di intervento scelti dal Consiglio di indirizzo nell’ambito dei settori ammessi, con criteri prudenziali e con orizzonte temporale di riferimento di medio periodo</w:t>
      </w:r>
      <w:r>
        <w:rPr>
          <w:rFonts w:ascii="Times New Roman" w:hAnsi="Times New Roman"/>
          <w:bCs/>
          <w:szCs w:val="24"/>
        </w:rPr>
        <w:t>.</w:t>
      </w:r>
    </w:p>
    <w:p w:rsidR="00F428BD" w:rsidRPr="00D45F6A" w:rsidRDefault="00F428BD" w:rsidP="00F428BD">
      <w:pPr>
        <w:pStyle w:val="Standard"/>
        <w:spacing w:after="0" w:line="240" w:lineRule="auto"/>
        <w:jc w:val="both"/>
        <w:rPr>
          <w:rFonts w:ascii="Times New Roman" w:hAnsi="Times New Roman"/>
          <w:sz w:val="24"/>
          <w:szCs w:val="24"/>
        </w:rPr>
      </w:pPr>
      <w:r w:rsidRPr="00D45F6A">
        <w:rPr>
          <w:rFonts w:ascii="Times New Roman" w:hAnsi="Times New Roman"/>
          <w:sz w:val="24"/>
          <w:szCs w:val="24"/>
        </w:rPr>
        <w:t xml:space="preserve">Il </w:t>
      </w:r>
      <w:proofErr w:type="gramStart"/>
      <w:r w:rsidRPr="00D45F6A">
        <w:rPr>
          <w:rFonts w:ascii="Times New Roman" w:hAnsi="Times New Roman"/>
          <w:sz w:val="24"/>
          <w:szCs w:val="24"/>
        </w:rPr>
        <w:t xml:space="preserve">Collegio </w:t>
      </w:r>
      <w:r>
        <w:rPr>
          <w:rFonts w:ascii="Times New Roman" w:hAnsi="Times New Roman"/>
          <w:sz w:val="24"/>
          <w:szCs w:val="24"/>
        </w:rPr>
        <w:t xml:space="preserve"> dà</w:t>
      </w:r>
      <w:proofErr w:type="gramEnd"/>
      <w:r>
        <w:rPr>
          <w:rFonts w:ascii="Times New Roman" w:hAnsi="Times New Roman"/>
          <w:sz w:val="24"/>
          <w:szCs w:val="24"/>
        </w:rPr>
        <w:t xml:space="preserve"> atto che nel</w:t>
      </w:r>
      <w:r w:rsidRPr="00D45F6A">
        <w:rPr>
          <w:rFonts w:ascii="Times New Roman" w:hAnsi="Times New Roman"/>
          <w:sz w:val="24"/>
          <w:szCs w:val="24"/>
        </w:rPr>
        <w:t>la Proposta di Documento P.P.</w:t>
      </w:r>
      <w:r>
        <w:rPr>
          <w:rFonts w:ascii="Times New Roman" w:hAnsi="Times New Roman"/>
          <w:sz w:val="24"/>
          <w:szCs w:val="24"/>
        </w:rPr>
        <w:t xml:space="preserve"> è stata applicata la procedura contabile già adottata nel precedente esercizio  con la quale  </w:t>
      </w:r>
      <w:r w:rsidRPr="00D45F6A">
        <w:rPr>
          <w:rFonts w:ascii="Times New Roman" w:hAnsi="Times New Roman"/>
          <w:sz w:val="24"/>
          <w:szCs w:val="24"/>
        </w:rPr>
        <w:t xml:space="preserve"> l’ammontare delle risorse destinate all’attività erogativa viene destinato per ciascun anno sulla base del reddito prodotto dall’esercizio precedente.</w:t>
      </w:r>
    </w:p>
    <w:p w:rsidR="00F428BD" w:rsidRPr="00D45F6A" w:rsidRDefault="00F428BD" w:rsidP="00F428BD">
      <w:pPr>
        <w:pStyle w:val="Standard"/>
        <w:spacing w:after="0" w:line="240" w:lineRule="auto"/>
        <w:jc w:val="both"/>
        <w:rPr>
          <w:rFonts w:ascii="Times New Roman" w:hAnsi="Times New Roman"/>
          <w:sz w:val="24"/>
          <w:szCs w:val="24"/>
        </w:rPr>
      </w:pPr>
    </w:p>
    <w:p w:rsidR="00F428BD" w:rsidRDefault="00F428BD" w:rsidP="00F428BD">
      <w:pPr>
        <w:rPr>
          <w:rFonts w:ascii="Times New Roman" w:hAnsi="Times New Roman"/>
          <w:szCs w:val="24"/>
        </w:rPr>
      </w:pPr>
      <w:r w:rsidRPr="00BC5F28">
        <w:rPr>
          <w:rFonts w:ascii="Times New Roman" w:hAnsi="Times New Roman"/>
          <w:szCs w:val="24"/>
        </w:rPr>
        <w:t>Per l’esercizio 202</w:t>
      </w:r>
      <w:r>
        <w:rPr>
          <w:rFonts w:ascii="Times New Roman" w:hAnsi="Times New Roman"/>
          <w:szCs w:val="24"/>
        </w:rPr>
        <w:t>1</w:t>
      </w:r>
      <w:r w:rsidRPr="00BC5F28">
        <w:rPr>
          <w:rFonts w:ascii="Times New Roman" w:hAnsi="Times New Roman"/>
          <w:szCs w:val="24"/>
        </w:rPr>
        <w:t xml:space="preserve"> l’attività erogativa verrà integralmente alimentata attingendo al Fondo per interventi istituzionali</w:t>
      </w:r>
      <w:r>
        <w:rPr>
          <w:rFonts w:ascii="Times New Roman" w:hAnsi="Times New Roman"/>
          <w:szCs w:val="24"/>
        </w:rPr>
        <w:t>.</w:t>
      </w:r>
    </w:p>
    <w:p w:rsidR="00F428BD" w:rsidRDefault="00F428BD" w:rsidP="00F428BD">
      <w:pPr>
        <w:rPr>
          <w:rFonts w:ascii="Times New Roman" w:hAnsi="Times New Roman"/>
          <w:szCs w:val="24"/>
        </w:rPr>
      </w:pPr>
      <w:r>
        <w:rPr>
          <w:rFonts w:ascii="Times New Roman" w:hAnsi="Times New Roman"/>
          <w:szCs w:val="24"/>
        </w:rPr>
        <w:lastRenderedPageBreak/>
        <w:t>Come è contenuto nel documento Programmatico Previsionale si conferma la previsione di impiegare risorse aggiuntive dalle riserve e dagli accantonamenti operati negli anni precedenti, tenendo anche presente la particolarità dell’emergenza epidemiologica in atto per effetto del Covid-</w:t>
      </w:r>
      <w:proofErr w:type="gramStart"/>
      <w:r>
        <w:rPr>
          <w:rFonts w:ascii="Times New Roman" w:hAnsi="Times New Roman"/>
          <w:szCs w:val="24"/>
        </w:rPr>
        <w:t>19 .</w:t>
      </w:r>
      <w:proofErr w:type="gramEnd"/>
    </w:p>
    <w:p w:rsidR="00F428BD" w:rsidRDefault="00F428BD" w:rsidP="00F428BD">
      <w:pPr>
        <w:rPr>
          <w:rFonts w:ascii="Times New Roman" w:hAnsi="Times New Roman"/>
        </w:rPr>
      </w:pPr>
      <w:r>
        <w:rPr>
          <w:rFonts w:ascii="Times New Roman" w:hAnsi="Times New Roman"/>
          <w:szCs w:val="24"/>
        </w:rPr>
        <w:t>Nel piano di programmazione pluriennale 2019/</w:t>
      </w:r>
      <w:proofErr w:type="gramStart"/>
      <w:r>
        <w:rPr>
          <w:rFonts w:ascii="Times New Roman" w:hAnsi="Times New Roman"/>
          <w:szCs w:val="24"/>
        </w:rPr>
        <w:t>2021 ,</w:t>
      </w:r>
      <w:proofErr w:type="gramEnd"/>
      <w:r>
        <w:rPr>
          <w:rFonts w:ascii="Times New Roman" w:hAnsi="Times New Roman"/>
          <w:szCs w:val="24"/>
        </w:rPr>
        <w:t xml:space="preserve"> per l’anno 2021, il totale dei fondi per attività istituzionale previsto è pari alla relativa quota residuale del triennio , ovvero euro 1.200.000, che verranno prelevati dal Fondo per Interventi Istituzionali e ripartito nelle forme previste.</w:t>
      </w:r>
    </w:p>
    <w:p w:rsidR="00F428BD" w:rsidRPr="00D45F6A" w:rsidRDefault="00F428BD" w:rsidP="00F428BD">
      <w:pPr>
        <w:pStyle w:val="Titolo1"/>
        <w:tabs>
          <w:tab w:val="left" w:pos="708"/>
        </w:tabs>
        <w:jc w:val="left"/>
        <w:rPr>
          <w:sz w:val="22"/>
          <w:szCs w:val="22"/>
        </w:rPr>
      </w:pPr>
    </w:p>
    <w:p w:rsidR="00F428BD" w:rsidRPr="00447211" w:rsidRDefault="00F428BD" w:rsidP="00F428BD"/>
    <w:p w:rsidR="00F428BD" w:rsidRDefault="00F428BD" w:rsidP="00F428BD">
      <w:pPr>
        <w:pStyle w:val="Titolo1"/>
        <w:tabs>
          <w:tab w:val="left" w:pos="708"/>
        </w:tabs>
        <w:jc w:val="left"/>
        <w:rPr>
          <w:sz w:val="22"/>
          <w:szCs w:val="22"/>
        </w:rPr>
      </w:pPr>
      <w:proofErr w:type="gramStart"/>
      <w:r w:rsidRPr="00D45F6A">
        <w:rPr>
          <w:sz w:val="22"/>
          <w:szCs w:val="22"/>
        </w:rPr>
        <w:t>RIPARTIZIONE  FONDI</w:t>
      </w:r>
      <w:proofErr w:type="gramEnd"/>
      <w:r w:rsidRPr="00D45F6A">
        <w:rPr>
          <w:sz w:val="22"/>
          <w:szCs w:val="22"/>
        </w:rPr>
        <w:t xml:space="preserve"> PER ATTIVITA’ ISTITUZIONALI</w:t>
      </w:r>
      <w:r>
        <w:rPr>
          <w:sz w:val="22"/>
          <w:szCs w:val="22"/>
        </w:rPr>
        <w:t xml:space="preserve"> (x000)</w:t>
      </w:r>
    </w:p>
    <w:p w:rsidR="00F428BD" w:rsidRPr="00482BE2" w:rsidRDefault="00F428BD" w:rsidP="00F428BD"/>
    <w:tbl>
      <w:tblPr>
        <w:tblW w:w="7417" w:type="dxa"/>
        <w:tblInd w:w="-20" w:type="dxa"/>
        <w:tblLayout w:type="fixed"/>
        <w:tblCellMar>
          <w:left w:w="10" w:type="dxa"/>
          <w:right w:w="10" w:type="dxa"/>
        </w:tblCellMar>
        <w:tblLook w:val="0000" w:firstRow="0" w:lastRow="0" w:firstColumn="0" w:lastColumn="0" w:noHBand="0" w:noVBand="0"/>
      </w:tblPr>
      <w:tblGrid>
        <w:gridCol w:w="3806"/>
        <w:gridCol w:w="1660"/>
        <w:gridCol w:w="1951"/>
      </w:tblGrid>
      <w:tr w:rsidR="00F428BD" w:rsidRPr="00D45F6A" w:rsidTr="006F2FD0">
        <w:trPr>
          <w:trHeight w:val="758"/>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428BD" w:rsidRPr="00D45F6A" w:rsidRDefault="00F428BD" w:rsidP="006F2FD0">
            <w:pPr>
              <w:pStyle w:val="Standard"/>
              <w:spacing w:after="0" w:line="240" w:lineRule="auto"/>
              <w:jc w:val="center"/>
              <w:rPr>
                <w:rFonts w:ascii="Times New Roman" w:eastAsia="Times New Roman" w:hAnsi="Times New Roman"/>
                <w:bCs/>
                <w:color w:val="000000"/>
                <w:lang w:eastAsia="it-IT"/>
              </w:rPr>
            </w:pPr>
            <w:r w:rsidRPr="00D45F6A">
              <w:rPr>
                <w:rFonts w:ascii="Times New Roman" w:eastAsia="Times New Roman" w:hAnsi="Times New Roman"/>
                <w:bCs/>
                <w:color w:val="000000"/>
                <w:lang w:eastAsia="it-IT"/>
              </w:rPr>
              <w:t>SETTORI RILEVANTI</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428BD" w:rsidRPr="00D45F6A" w:rsidRDefault="00F428BD" w:rsidP="006F2FD0">
            <w:pPr>
              <w:pStyle w:val="Standard"/>
              <w:spacing w:after="0" w:line="240" w:lineRule="auto"/>
              <w:jc w:val="center"/>
              <w:rPr>
                <w:rFonts w:ascii="Times New Roman" w:eastAsia="Times New Roman" w:hAnsi="Times New Roman"/>
                <w:bCs/>
                <w:color w:val="000000"/>
                <w:lang w:eastAsia="it-IT"/>
              </w:rPr>
            </w:pPr>
            <w:r w:rsidRPr="00D45F6A">
              <w:rPr>
                <w:rFonts w:ascii="Times New Roman" w:eastAsia="Times New Roman" w:hAnsi="Times New Roman"/>
                <w:bCs/>
                <w:color w:val="000000"/>
                <w:lang w:eastAsia="it-IT"/>
              </w:rPr>
              <w:t>Euro</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428BD" w:rsidRPr="00D45F6A" w:rsidRDefault="00F428BD" w:rsidP="006F2FD0">
            <w:pPr>
              <w:pStyle w:val="Standard"/>
              <w:spacing w:after="0" w:line="240" w:lineRule="auto"/>
              <w:jc w:val="center"/>
              <w:rPr>
                <w:rFonts w:ascii="Times New Roman" w:eastAsia="Times New Roman" w:hAnsi="Times New Roman"/>
                <w:bCs/>
                <w:color w:val="000000"/>
                <w:lang w:eastAsia="it-IT"/>
              </w:rPr>
            </w:pPr>
            <w:r w:rsidRPr="00D45F6A">
              <w:rPr>
                <w:rFonts w:ascii="Times New Roman" w:eastAsia="Times New Roman" w:hAnsi="Times New Roman"/>
                <w:bCs/>
                <w:color w:val="000000"/>
                <w:lang w:eastAsia="it-IT"/>
              </w:rPr>
              <w:t>Percentuale complessiva</w:t>
            </w:r>
          </w:p>
        </w:tc>
      </w:tr>
      <w:tr w:rsidR="00F428BD" w:rsidRPr="00D45F6A" w:rsidTr="006F2FD0">
        <w:trPr>
          <w:trHeight w:val="787"/>
        </w:trPr>
        <w:tc>
          <w:tcPr>
            <w:tcW w:w="3806" w:type="dxa"/>
            <w:tcBorders>
              <w:lef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rPr>
                <w:rFonts w:ascii="Times New Roman" w:eastAsia="Times New Roman" w:hAnsi="Times New Roman"/>
                <w:bCs/>
                <w:color w:val="000000"/>
                <w:lang w:eastAsia="it-IT"/>
              </w:rPr>
            </w:pPr>
            <w:r w:rsidRPr="00D45F6A">
              <w:rPr>
                <w:rFonts w:ascii="Times New Roman" w:eastAsia="Times New Roman" w:hAnsi="Times New Roman"/>
                <w:bCs/>
                <w:color w:val="000000"/>
                <w:lang w:eastAsia="it-IT"/>
              </w:rPr>
              <w:t xml:space="preserve">Arte, attività e beni culturali,          </w:t>
            </w:r>
          </w:p>
          <w:p w:rsidR="00F428BD" w:rsidRPr="00D45F6A" w:rsidRDefault="00F428BD" w:rsidP="006F2FD0">
            <w:pPr>
              <w:pStyle w:val="Standard"/>
              <w:spacing w:after="0" w:line="240" w:lineRule="auto"/>
              <w:rPr>
                <w:rFonts w:ascii="Times New Roman" w:eastAsia="Times New Roman" w:hAnsi="Times New Roman"/>
                <w:bCs/>
                <w:color w:val="000000"/>
                <w:lang w:eastAsia="it-IT"/>
              </w:rPr>
            </w:pPr>
          </w:p>
        </w:tc>
        <w:tc>
          <w:tcPr>
            <w:tcW w:w="1660" w:type="dxa"/>
            <w:tcBorders>
              <w:lef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bCs/>
                <w:color w:val="000000"/>
                <w:lang w:eastAsia="it-IT"/>
              </w:rPr>
            </w:pPr>
            <w:r>
              <w:rPr>
                <w:rFonts w:ascii="Times New Roman" w:eastAsia="Times New Roman" w:hAnsi="Times New Roman"/>
                <w:bCs/>
                <w:color w:val="000000"/>
                <w:lang w:eastAsia="it-IT"/>
              </w:rPr>
              <w:t>528,00</w:t>
            </w:r>
          </w:p>
        </w:tc>
        <w:tc>
          <w:tcPr>
            <w:tcW w:w="1951" w:type="dxa"/>
            <w:tcBorders>
              <w:left w:val="single" w:sz="4" w:space="0" w:color="000000"/>
              <w:righ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44,00</w:t>
            </w:r>
          </w:p>
        </w:tc>
      </w:tr>
      <w:tr w:rsidR="00F428BD" w:rsidRPr="00D45F6A" w:rsidTr="006F2FD0">
        <w:trPr>
          <w:trHeight w:val="959"/>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rPr>
                <w:rFonts w:ascii="Times New Roman" w:eastAsia="Times New Roman" w:hAnsi="Times New Roman"/>
                <w:color w:val="000000"/>
                <w:lang w:eastAsia="it-IT"/>
              </w:rPr>
            </w:pPr>
            <w:r w:rsidRPr="00D45F6A">
              <w:rPr>
                <w:rFonts w:ascii="Times New Roman" w:eastAsia="Times New Roman" w:hAnsi="Times New Roman"/>
                <w:color w:val="000000"/>
                <w:lang w:eastAsia="it-IT"/>
              </w:rPr>
              <w:t>Educazione, istruzione e formazione, incluso l'acquisto di prodotti editoriali per la scuola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264,00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22,00</w:t>
            </w:r>
          </w:p>
        </w:tc>
      </w:tr>
      <w:tr w:rsidR="00F428BD" w:rsidRPr="00D45F6A" w:rsidTr="006F2FD0">
        <w:trPr>
          <w:trHeight w:val="763"/>
        </w:trPr>
        <w:tc>
          <w:tcPr>
            <w:tcW w:w="3806" w:type="dxa"/>
            <w:tcBorders>
              <w:lef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rPr>
                <w:rFonts w:ascii="Times New Roman" w:eastAsia="Times New Roman" w:hAnsi="Times New Roman"/>
                <w:color w:val="000000"/>
                <w:lang w:eastAsia="it-IT"/>
              </w:rPr>
            </w:pPr>
            <w:r w:rsidRPr="00D45F6A">
              <w:rPr>
                <w:rFonts w:ascii="Times New Roman" w:eastAsia="Times New Roman" w:hAnsi="Times New Roman"/>
                <w:color w:val="000000"/>
                <w:lang w:eastAsia="it-IT"/>
              </w:rPr>
              <w:t>Salute pubblica, medicina preventiva e riabilitativa</w:t>
            </w:r>
          </w:p>
        </w:tc>
        <w:tc>
          <w:tcPr>
            <w:tcW w:w="1660" w:type="dxa"/>
            <w:tcBorders>
              <w:lef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132,00</w:t>
            </w:r>
          </w:p>
        </w:tc>
        <w:tc>
          <w:tcPr>
            <w:tcW w:w="1951" w:type="dxa"/>
            <w:tcBorders>
              <w:left w:val="single" w:sz="4" w:space="0" w:color="000000"/>
              <w:righ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11,00</w:t>
            </w:r>
          </w:p>
        </w:tc>
      </w:tr>
      <w:tr w:rsidR="00F428BD" w:rsidRPr="00D45F6A" w:rsidTr="006F2FD0">
        <w:trPr>
          <w:trHeight w:val="664"/>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rPr>
                <w:rFonts w:ascii="Times New Roman" w:eastAsia="Times New Roman" w:hAnsi="Times New Roman"/>
                <w:color w:val="000000"/>
                <w:lang w:eastAsia="it-IT"/>
              </w:rPr>
            </w:pPr>
            <w:r w:rsidRPr="00D45F6A">
              <w:rPr>
                <w:rFonts w:ascii="Times New Roman" w:eastAsia="Times New Roman" w:hAnsi="Times New Roman"/>
                <w:color w:val="000000"/>
                <w:lang w:eastAsia="it-IT"/>
              </w:rPr>
              <w:t>Volontariato, filantropia e beneficenza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276,00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Pr>
                <w:rFonts w:ascii="Times New Roman" w:eastAsia="Times New Roman" w:hAnsi="Times New Roman"/>
                <w:color w:val="000000"/>
                <w:lang w:eastAsia="it-IT"/>
              </w:rPr>
              <w:t>23,00</w:t>
            </w:r>
          </w:p>
        </w:tc>
      </w:tr>
      <w:tr w:rsidR="00F428BD" w:rsidRPr="00D45F6A" w:rsidTr="006F2FD0">
        <w:trPr>
          <w:trHeight w:val="896"/>
        </w:trPr>
        <w:tc>
          <w:tcPr>
            <w:tcW w:w="3806" w:type="dxa"/>
            <w:tcBorders>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rPr>
                <w:rFonts w:ascii="Times New Roman" w:eastAsia="Times New Roman" w:hAnsi="Times New Roman"/>
                <w:color w:val="000000"/>
                <w:lang w:eastAsia="it-IT"/>
              </w:rPr>
            </w:pPr>
            <w:r w:rsidRPr="00D45F6A">
              <w:rPr>
                <w:rFonts w:ascii="Times New Roman" w:eastAsia="Times New Roman" w:hAnsi="Times New Roman"/>
                <w:color w:val="000000"/>
                <w:lang w:eastAsia="it-IT"/>
              </w:rPr>
              <w:t>Totale complessivo</w:t>
            </w:r>
          </w:p>
        </w:tc>
        <w:tc>
          <w:tcPr>
            <w:tcW w:w="1660" w:type="dxa"/>
            <w:tcBorders>
              <w:left w:val="single" w:sz="4" w:space="0" w:color="000000"/>
              <w:bottom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1.200,00</w:t>
            </w:r>
          </w:p>
        </w:tc>
        <w:tc>
          <w:tcPr>
            <w:tcW w:w="1951"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F428BD" w:rsidRPr="00D45F6A" w:rsidRDefault="00F428BD" w:rsidP="006F2FD0">
            <w:pPr>
              <w:pStyle w:val="Standard"/>
              <w:spacing w:after="0" w:line="240" w:lineRule="auto"/>
              <w:jc w:val="center"/>
              <w:rPr>
                <w:rFonts w:ascii="Times New Roman" w:eastAsia="Times New Roman" w:hAnsi="Times New Roman"/>
                <w:color w:val="000000"/>
                <w:lang w:eastAsia="it-IT"/>
              </w:rPr>
            </w:pPr>
            <w:r w:rsidRPr="00D45F6A">
              <w:rPr>
                <w:rFonts w:ascii="Times New Roman" w:eastAsia="Times New Roman" w:hAnsi="Times New Roman"/>
                <w:color w:val="000000"/>
                <w:lang w:eastAsia="it-IT"/>
              </w:rPr>
              <w:t>100,00</w:t>
            </w:r>
          </w:p>
        </w:tc>
      </w:tr>
    </w:tbl>
    <w:p w:rsidR="00F428BD" w:rsidRPr="00D45F6A" w:rsidRDefault="00F428BD" w:rsidP="00F428BD">
      <w:pPr>
        <w:pStyle w:val="Standard"/>
        <w:spacing w:after="0" w:line="240" w:lineRule="auto"/>
        <w:jc w:val="both"/>
        <w:rPr>
          <w:rFonts w:ascii="Times New Roman" w:hAnsi="Times New Roman"/>
          <w:sz w:val="24"/>
          <w:szCs w:val="24"/>
        </w:rPr>
      </w:pPr>
    </w:p>
    <w:p w:rsidR="00F428BD" w:rsidRPr="00D45F6A" w:rsidRDefault="00F428BD" w:rsidP="00F428BD">
      <w:pPr>
        <w:pStyle w:val="Standard"/>
        <w:spacing w:line="240" w:lineRule="auto"/>
        <w:jc w:val="both"/>
        <w:rPr>
          <w:rFonts w:ascii="Times New Roman" w:hAnsi="Times New Roman"/>
          <w:sz w:val="24"/>
          <w:szCs w:val="24"/>
        </w:rPr>
      </w:pPr>
    </w:p>
    <w:p w:rsidR="00F428BD" w:rsidRPr="00D45F6A" w:rsidRDefault="00F428BD" w:rsidP="00F428BD">
      <w:pPr>
        <w:pStyle w:val="Standard"/>
        <w:spacing w:line="240" w:lineRule="auto"/>
        <w:jc w:val="both"/>
        <w:rPr>
          <w:rFonts w:ascii="Times New Roman" w:hAnsi="Times New Roman"/>
          <w:sz w:val="24"/>
          <w:szCs w:val="24"/>
        </w:rPr>
      </w:pPr>
      <w:r w:rsidRPr="00D45F6A">
        <w:rPr>
          <w:rFonts w:ascii="Times New Roman" w:hAnsi="Times New Roman"/>
          <w:sz w:val="24"/>
          <w:szCs w:val="24"/>
        </w:rPr>
        <w:t xml:space="preserve">In base a quanto sopra esposto, il Collegio esprime il proprio parere favorevole per l’approvazione della Proposta </w:t>
      </w:r>
      <w:proofErr w:type="gramStart"/>
      <w:r w:rsidRPr="00D45F6A">
        <w:rPr>
          <w:rFonts w:ascii="Times New Roman" w:hAnsi="Times New Roman"/>
          <w:sz w:val="24"/>
          <w:szCs w:val="24"/>
        </w:rPr>
        <w:t>di  Documento</w:t>
      </w:r>
      <w:proofErr w:type="gramEnd"/>
      <w:r w:rsidRPr="00D45F6A">
        <w:rPr>
          <w:rFonts w:ascii="Times New Roman" w:hAnsi="Times New Roman"/>
          <w:sz w:val="24"/>
          <w:szCs w:val="24"/>
        </w:rPr>
        <w:t xml:space="preserve"> Programmat</w:t>
      </w:r>
      <w:r>
        <w:rPr>
          <w:rFonts w:ascii="Times New Roman" w:hAnsi="Times New Roman"/>
          <w:sz w:val="24"/>
          <w:szCs w:val="24"/>
        </w:rPr>
        <w:t>ico Previsionale per l’anno 2021</w:t>
      </w:r>
      <w:r w:rsidRPr="00D45F6A">
        <w:rPr>
          <w:rFonts w:ascii="Times New Roman" w:hAnsi="Times New Roman"/>
          <w:sz w:val="24"/>
          <w:szCs w:val="24"/>
        </w:rPr>
        <w:t xml:space="preserve"> dell’Ente Cassa di Risparmio della Provincia di Viterbo.</w:t>
      </w:r>
    </w:p>
    <w:p w:rsidR="00F428BD" w:rsidRDefault="00F428BD" w:rsidP="00F428BD">
      <w:pPr>
        <w:pStyle w:val="Standard"/>
        <w:spacing w:line="240" w:lineRule="auto"/>
        <w:jc w:val="both"/>
        <w:rPr>
          <w:rFonts w:ascii="Times New Roman" w:hAnsi="Times New Roman"/>
          <w:sz w:val="24"/>
          <w:szCs w:val="24"/>
        </w:rPr>
      </w:pPr>
    </w:p>
    <w:p w:rsidR="00F428BD" w:rsidRDefault="00F428BD" w:rsidP="00F428BD">
      <w:pPr>
        <w:pStyle w:val="Standard"/>
        <w:spacing w:line="240" w:lineRule="auto"/>
        <w:jc w:val="both"/>
        <w:rPr>
          <w:rFonts w:ascii="Times New Roman" w:hAnsi="Times New Roman"/>
          <w:sz w:val="24"/>
          <w:szCs w:val="24"/>
        </w:rPr>
      </w:pPr>
      <w:proofErr w:type="gramStart"/>
      <w:r>
        <w:rPr>
          <w:rFonts w:ascii="Times New Roman" w:hAnsi="Times New Roman"/>
          <w:sz w:val="24"/>
          <w:szCs w:val="24"/>
        </w:rPr>
        <w:t>Viterbo,  13</w:t>
      </w:r>
      <w:proofErr w:type="gramEnd"/>
      <w:r>
        <w:rPr>
          <w:rFonts w:ascii="Times New Roman" w:hAnsi="Times New Roman"/>
          <w:sz w:val="24"/>
          <w:szCs w:val="24"/>
        </w:rPr>
        <w:t xml:space="preserve"> ottobre 2020</w:t>
      </w:r>
    </w:p>
    <w:p w:rsidR="00F428BD" w:rsidRDefault="00F428BD" w:rsidP="00F428BD">
      <w:pPr>
        <w:pStyle w:val="Standard"/>
        <w:spacing w:line="240" w:lineRule="auto"/>
        <w:jc w:val="both"/>
        <w:rPr>
          <w:rFonts w:ascii="Times New Roman" w:hAnsi="Times New Roman"/>
          <w:sz w:val="24"/>
          <w:szCs w:val="24"/>
        </w:rPr>
      </w:pPr>
    </w:p>
    <w:p w:rsidR="00F428BD" w:rsidRDefault="00F428BD" w:rsidP="00F428BD">
      <w:pPr>
        <w:pStyle w:val="Standard"/>
        <w:spacing w:line="240" w:lineRule="auto"/>
        <w:jc w:val="both"/>
        <w:rPr>
          <w:rFonts w:ascii="Times New Roman" w:hAnsi="Times New Roman"/>
          <w:sz w:val="24"/>
          <w:szCs w:val="24"/>
        </w:rPr>
      </w:pPr>
    </w:p>
    <w:p w:rsidR="00F428BD" w:rsidRPr="00D45F6A" w:rsidRDefault="00F428BD" w:rsidP="00F428BD">
      <w:pPr>
        <w:pStyle w:val="Standard"/>
        <w:spacing w:after="0" w:line="240" w:lineRule="auto"/>
        <w:rPr>
          <w:rFonts w:ascii="Times New Roman" w:hAnsi="Times New Roman"/>
          <w:sz w:val="24"/>
          <w:szCs w:val="24"/>
        </w:rPr>
      </w:pPr>
      <w:r w:rsidRPr="00D45F6A">
        <w:rPr>
          <w:rFonts w:ascii="Times New Roman" w:hAnsi="Times New Roman"/>
          <w:sz w:val="24"/>
          <w:szCs w:val="24"/>
        </w:rPr>
        <w:t>IL COLLEGIO DEI SINDACI</w:t>
      </w:r>
    </w:p>
    <w:p w:rsidR="00F428BD" w:rsidRPr="00D45F6A" w:rsidRDefault="00F428BD" w:rsidP="00F428BD">
      <w:pPr>
        <w:pStyle w:val="Standard"/>
        <w:spacing w:after="0" w:line="240" w:lineRule="auto"/>
        <w:rPr>
          <w:rFonts w:ascii="Times New Roman" w:hAnsi="Times New Roman"/>
          <w:sz w:val="24"/>
          <w:szCs w:val="24"/>
        </w:rPr>
      </w:pPr>
      <w:r>
        <w:rPr>
          <w:rFonts w:ascii="Times New Roman" w:hAnsi="Times New Roman"/>
          <w:sz w:val="24"/>
          <w:szCs w:val="24"/>
        </w:rPr>
        <w:t>Dott. GRAZINI</w:t>
      </w:r>
      <w:r w:rsidRPr="00D45F6A">
        <w:rPr>
          <w:rFonts w:ascii="Times New Roman" w:hAnsi="Times New Roman"/>
          <w:sz w:val="24"/>
          <w:szCs w:val="24"/>
        </w:rPr>
        <w:t xml:space="preserve"> </w:t>
      </w:r>
      <w:r>
        <w:rPr>
          <w:rFonts w:ascii="Times New Roman" w:hAnsi="Times New Roman"/>
          <w:sz w:val="24"/>
          <w:szCs w:val="24"/>
        </w:rPr>
        <w:t>Massimo</w:t>
      </w:r>
      <w:r w:rsidRPr="00D45F6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45F6A">
        <w:rPr>
          <w:rFonts w:ascii="Times New Roman" w:hAnsi="Times New Roman"/>
          <w:sz w:val="24"/>
          <w:szCs w:val="24"/>
        </w:rPr>
        <w:t>Presidente</w:t>
      </w:r>
    </w:p>
    <w:p w:rsidR="00F428BD" w:rsidRPr="00D45F6A" w:rsidRDefault="00F428BD" w:rsidP="00F428BD">
      <w:pPr>
        <w:pStyle w:val="Standard"/>
        <w:spacing w:after="0" w:line="240" w:lineRule="auto"/>
        <w:rPr>
          <w:rFonts w:ascii="Times New Roman" w:hAnsi="Times New Roman"/>
          <w:sz w:val="24"/>
          <w:szCs w:val="24"/>
        </w:rPr>
      </w:pPr>
      <w:r>
        <w:rPr>
          <w:rFonts w:ascii="Times New Roman" w:hAnsi="Times New Roman"/>
          <w:sz w:val="24"/>
          <w:szCs w:val="24"/>
        </w:rPr>
        <w:t xml:space="preserve">Dott.ssa CIMA Francesca Marianna        </w:t>
      </w:r>
      <w:r>
        <w:rPr>
          <w:rFonts w:ascii="Times New Roman" w:hAnsi="Times New Roman"/>
          <w:sz w:val="24"/>
          <w:szCs w:val="24"/>
        </w:rPr>
        <w:tab/>
        <w:t xml:space="preserve">-     </w:t>
      </w:r>
      <w:r w:rsidRPr="00D45F6A">
        <w:rPr>
          <w:rFonts w:ascii="Times New Roman" w:hAnsi="Times New Roman"/>
          <w:sz w:val="24"/>
          <w:szCs w:val="24"/>
        </w:rPr>
        <w:t>Sindaco effettivo</w:t>
      </w:r>
    </w:p>
    <w:p w:rsidR="000B2ED6" w:rsidRDefault="00F428BD" w:rsidP="00F428B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szCs w:val="24"/>
        </w:rPr>
      </w:pPr>
      <w:r>
        <w:rPr>
          <w:rFonts w:ascii="Times New Roman" w:hAnsi="Times New Roman"/>
          <w:szCs w:val="24"/>
        </w:rPr>
        <w:t>Dott. SANTONI Marco</w:t>
      </w:r>
      <w:r w:rsidRPr="00D45F6A">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00E822C3">
        <w:rPr>
          <w:rFonts w:ascii="Times New Roman" w:hAnsi="Times New Roman"/>
          <w:szCs w:val="24"/>
        </w:rPr>
        <w:t xml:space="preserve">-     </w:t>
      </w:r>
      <w:r w:rsidR="00E822C3" w:rsidRPr="00D45F6A">
        <w:rPr>
          <w:rFonts w:ascii="Times New Roman" w:hAnsi="Times New Roman"/>
          <w:szCs w:val="24"/>
        </w:rPr>
        <w:t>Sindaco effettivo</w:t>
      </w:r>
    </w:p>
    <w:p w:rsidR="00C12F8E" w:rsidRDefault="00C12F8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b/>
          <w:szCs w:val="24"/>
        </w:rPr>
      </w:pPr>
      <w:r>
        <w:rPr>
          <w:rFonts w:asciiTheme="minorHAnsi" w:hAnsiTheme="minorHAnsi"/>
          <w:b/>
          <w:szCs w:val="24"/>
        </w:rPr>
        <w:br w:type="page"/>
      </w:r>
    </w:p>
    <w:p w:rsidR="00C12F8E" w:rsidRPr="009B44E3" w:rsidRDefault="00C12F8E" w:rsidP="00C12F8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rsidR="00C12F8E" w:rsidRPr="001442CB" w:rsidRDefault="00C12F8E" w:rsidP="00C12F8E">
      <w:pPr>
        <w:jc w:val="center"/>
        <w:rPr>
          <w:rStyle w:val="CharacterStyle3"/>
          <w:rFonts w:ascii="Times New Roman" w:hAnsi="Times New Roman" w:cs="Times New Roman"/>
          <w:b/>
        </w:rPr>
      </w:pPr>
      <w:r w:rsidRPr="001442CB">
        <w:rPr>
          <w:rStyle w:val="CharacterStyle3"/>
          <w:rFonts w:ascii="Times New Roman" w:hAnsi="Times New Roman" w:cs="Times New Roman"/>
          <w:b/>
        </w:rPr>
        <w:t>PARERE CONSULTIVO DELL’ASSEMBLEA DEI SOCI</w:t>
      </w:r>
    </w:p>
    <w:p w:rsidR="00C12F8E" w:rsidRPr="001442CB" w:rsidRDefault="00C12F8E" w:rsidP="00C12F8E">
      <w:pPr>
        <w:jc w:val="center"/>
        <w:rPr>
          <w:rFonts w:ascii="Times New Roman" w:hAnsi="Times New Roman"/>
          <w:b/>
          <w:szCs w:val="24"/>
        </w:rPr>
      </w:pPr>
    </w:p>
    <w:p w:rsidR="00C12F8E" w:rsidRPr="001442CB" w:rsidRDefault="00C12F8E" w:rsidP="00C12F8E">
      <w:pPr>
        <w:jc w:val="center"/>
        <w:rPr>
          <w:rFonts w:ascii="Times New Roman" w:hAnsi="Times New Roman"/>
          <w:szCs w:val="24"/>
        </w:rPr>
      </w:pPr>
      <w:r w:rsidRPr="001442CB">
        <w:rPr>
          <w:rFonts w:ascii="Times New Roman" w:hAnsi="Times New Roman"/>
          <w:szCs w:val="24"/>
        </w:rPr>
        <w:t xml:space="preserve">ai sensi </w:t>
      </w:r>
      <w:proofErr w:type="gramStart"/>
      <w:r w:rsidRPr="001442CB">
        <w:rPr>
          <w:rFonts w:ascii="Times New Roman" w:hAnsi="Times New Roman"/>
          <w:szCs w:val="24"/>
        </w:rPr>
        <w:t>dell’ articolo</w:t>
      </w:r>
      <w:proofErr w:type="gramEnd"/>
      <w:r w:rsidRPr="001442CB">
        <w:rPr>
          <w:rFonts w:ascii="Times New Roman" w:hAnsi="Times New Roman"/>
          <w:szCs w:val="24"/>
        </w:rPr>
        <w:t xml:space="preserve"> 11 comma 1 lett. “e” dello Statuto</w:t>
      </w:r>
    </w:p>
    <w:p w:rsidR="00C12F8E" w:rsidRPr="001442CB" w:rsidRDefault="00C12F8E" w:rsidP="00C12F8E">
      <w:pPr>
        <w:jc w:val="center"/>
        <w:rPr>
          <w:rFonts w:ascii="Times New Roman" w:hAnsi="Times New Roman"/>
          <w:szCs w:val="24"/>
        </w:rPr>
      </w:pPr>
    </w:p>
    <w:p w:rsidR="00C12F8E" w:rsidRPr="001442CB" w:rsidRDefault="00C12F8E" w:rsidP="00C12F8E">
      <w:pPr>
        <w:rPr>
          <w:rFonts w:ascii="Times New Roman" w:hAnsi="Times New Roman"/>
          <w:szCs w:val="24"/>
        </w:rPr>
      </w:pPr>
      <w:r w:rsidRPr="001442CB">
        <w:rPr>
          <w:rFonts w:ascii="Times New Roman" w:hAnsi="Times New Roman"/>
          <w:szCs w:val="24"/>
        </w:rPr>
        <w:t xml:space="preserve">L’Assemblea dei Soci del 22 ottobre </w:t>
      </w:r>
      <w:proofErr w:type="gramStart"/>
      <w:r w:rsidRPr="001442CB">
        <w:rPr>
          <w:rFonts w:ascii="Times New Roman" w:hAnsi="Times New Roman"/>
          <w:szCs w:val="24"/>
        </w:rPr>
        <w:t>2020  ha</w:t>
      </w:r>
      <w:proofErr w:type="gramEnd"/>
      <w:r w:rsidRPr="001442CB">
        <w:rPr>
          <w:rFonts w:ascii="Times New Roman" w:hAnsi="Times New Roman"/>
          <w:szCs w:val="24"/>
        </w:rPr>
        <w:t xml:space="preserve"> espresso all’unanimità il proprio parere favorevole alla   Proposta Documento Programmatico Previsionale anno 2021 dell’Ente Cassa di Risparmio della Provincia di Viterbo approvata dal Consiglio di Amministrazione nella riunione del 29 settembre 2020.</w:t>
      </w:r>
    </w:p>
    <w:p w:rsidR="00C12F8E" w:rsidRPr="001442CB" w:rsidRDefault="00C12F8E" w:rsidP="00C12F8E">
      <w:pPr>
        <w:rPr>
          <w:rFonts w:ascii="Times New Roman" w:hAnsi="Times New Roman"/>
          <w:szCs w:val="24"/>
        </w:rPr>
      </w:pPr>
    </w:p>
    <w:p w:rsidR="00C12F8E" w:rsidRPr="001442CB" w:rsidRDefault="00C12F8E" w:rsidP="00C12F8E">
      <w:pPr>
        <w:pStyle w:val="Corpodeltesto22"/>
        <w:spacing w:line="240" w:lineRule="auto"/>
        <w:rPr>
          <w:rFonts w:ascii="Times New Roman" w:hAnsi="Times New Roman"/>
          <w:b/>
          <w:szCs w:val="24"/>
        </w:rPr>
      </w:pPr>
    </w:p>
    <w:p w:rsidR="00C12F8E" w:rsidRPr="001442CB" w:rsidRDefault="00C12F8E" w:rsidP="00F428B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b/>
          <w:szCs w:val="24"/>
        </w:rPr>
      </w:pPr>
    </w:p>
    <w:sectPr w:rsidR="00C12F8E" w:rsidRPr="001442CB" w:rsidSect="00016EEF">
      <w:headerReference w:type="default" r:id="rId10"/>
      <w:footerReference w:type="even" r:id="rId11"/>
      <w:footerReference w:type="default" r:id="rId12"/>
      <w:pgSz w:w="11907" w:h="16839" w:code="9"/>
      <w:pgMar w:top="1418" w:right="1418" w:bottom="1134" w:left="1418" w:header="720" w:footer="10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DF" w:rsidRDefault="007E6FDF" w:rsidP="005C0B37">
      <w:r>
        <w:separator/>
      </w:r>
    </w:p>
  </w:endnote>
  <w:endnote w:type="continuationSeparator" w:id="0">
    <w:p w:rsidR="007E6FDF" w:rsidRDefault="007E6FDF" w:rsidP="005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Times New Roman Grassetto">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F" w:rsidRDefault="007E6FDF">
    <w:pPr>
      <w:pStyle w:val="Pidipagina"/>
      <w:framePr w:w="576" w:wrap="around" w:vAnchor="page" w:hAnchor="page" w:x="9865" w:y="15877"/>
      <w:jc w:val="right"/>
      <w:rPr>
        <w:rStyle w:val="Numeropagina"/>
        <w:rFonts w:eastAsia="Arial Unicode MS"/>
      </w:rPr>
    </w:pPr>
    <w:r>
      <w:rPr>
        <w:rStyle w:val="Numeropagina"/>
        <w:rFonts w:eastAsia="Arial Unicode MS"/>
      </w:rPr>
      <w:fldChar w:fldCharType="begin"/>
    </w:r>
    <w:r>
      <w:rPr>
        <w:rStyle w:val="Numeropagina"/>
        <w:rFonts w:eastAsia="Arial Unicode MS"/>
      </w:rPr>
      <w:instrText xml:space="preserve">PAGE  </w:instrText>
    </w:r>
    <w:r>
      <w:rPr>
        <w:rStyle w:val="Numeropagina"/>
        <w:rFonts w:eastAsia="Arial Unicode MS"/>
      </w:rPr>
      <w:fldChar w:fldCharType="separate"/>
    </w:r>
    <w:r>
      <w:rPr>
        <w:rStyle w:val="Numeropagina"/>
        <w:rFonts w:eastAsia="Arial Unicode MS"/>
        <w:b w:val="0"/>
      </w:rPr>
      <w:t>Errore. Il segnalibro non è definito.</w:t>
    </w:r>
    <w:r>
      <w:rPr>
        <w:rStyle w:val="Numeropagina"/>
        <w:rFonts w:eastAsia="Arial Unicode MS"/>
      </w:rPr>
      <w:fldChar w:fldCharType="end"/>
    </w:r>
  </w:p>
  <w:p w:rsidR="007E6FDF" w:rsidRDefault="007E6F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427651"/>
      <w:docPartObj>
        <w:docPartGallery w:val="Page Numbers (Bottom of Page)"/>
        <w:docPartUnique/>
      </w:docPartObj>
    </w:sdtPr>
    <w:sdtEndPr/>
    <w:sdtContent>
      <w:p w:rsidR="007E6FDF" w:rsidRDefault="007E6FDF">
        <w:pPr>
          <w:pStyle w:val="Pidipagina"/>
          <w:jc w:val="right"/>
        </w:pPr>
        <w:r>
          <w:fldChar w:fldCharType="begin"/>
        </w:r>
        <w:r>
          <w:instrText>PAGE   \* MERGEFORMAT</w:instrText>
        </w:r>
        <w:r>
          <w:fldChar w:fldCharType="separate"/>
        </w:r>
        <w:r>
          <w:t>2</w:t>
        </w:r>
        <w:r>
          <w:fldChar w:fldCharType="end"/>
        </w:r>
      </w:p>
    </w:sdtContent>
  </w:sdt>
  <w:p w:rsidR="007E6FDF" w:rsidRDefault="007E6F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DF" w:rsidRDefault="007E6FDF" w:rsidP="005C0B37">
      <w:r>
        <w:separator/>
      </w:r>
    </w:p>
  </w:footnote>
  <w:footnote w:type="continuationSeparator" w:id="0">
    <w:p w:rsidR="007E6FDF" w:rsidRDefault="007E6FDF" w:rsidP="005C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F" w:rsidRDefault="007E6FDF" w:rsidP="00DF2399">
    <w:pPr>
      <w:pStyle w:val="Intestazione"/>
      <w:jc w:val="right"/>
    </w:pPr>
  </w:p>
  <w:p w:rsidR="007E6FDF" w:rsidRDefault="007E6FDF" w:rsidP="00DF239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00"/>
    <w:multiLevelType w:val="hybridMultilevel"/>
    <w:tmpl w:val="2C62072C"/>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9123350"/>
    <w:multiLevelType w:val="multilevel"/>
    <w:tmpl w:val="79D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1126"/>
    <w:multiLevelType w:val="hybridMultilevel"/>
    <w:tmpl w:val="495E2FFA"/>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25387"/>
    <w:multiLevelType w:val="multilevel"/>
    <w:tmpl w:val="47B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E2C68"/>
    <w:multiLevelType w:val="hybridMultilevel"/>
    <w:tmpl w:val="AFA6241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C7D72"/>
    <w:multiLevelType w:val="hybridMultilevel"/>
    <w:tmpl w:val="92B22120"/>
    <w:lvl w:ilvl="0" w:tplc="1D0A867C">
      <w:start w:val="1"/>
      <w:numFmt w:val="decimal"/>
      <w:lvlText w:val="%1."/>
      <w:lvlJc w:val="left"/>
      <w:pPr>
        <w:ind w:left="360" w:hanging="360"/>
      </w:pPr>
      <w:rPr>
        <w:rFonts w:hint="default"/>
        <w:strike w:val="0"/>
        <w:snapToGrid/>
        <w:spacing w:val="4"/>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415309F"/>
    <w:multiLevelType w:val="hybridMultilevel"/>
    <w:tmpl w:val="F11EA098"/>
    <w:lvl w:ilvl="0" w:tplc="6ABE564C">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1C679A"/>
    <w:multiLevelType w:val="hybridMultilevel"/>
    <w:tmpl w:val="A4F60422"/>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4E1035"/>
    <w:multiLevelType w:val="multilevel"/>
    <w:tmpl w:val="F7BA37C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C843BC6"/>
    <w:multiLevelType w:val="hybridMultilevel"/>
    <w:tmpl w:val="CF64D804"/>
    <w:lvl w:ilvl="0" w:tplc="036A4B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E32A4E"/>
    <w:multiLevelType w:val="hybridMultilevel"/>
    <w:tmpl w:val="36E8F51E"/>
    <w:lvl w:ilvl="0" w:tplc="6ABE564C">
      <w:start w:val="16"/>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67335FE"/>
    <w:multiLevelType w:val="hybridMultilevel"/>
    <w:tmpl w:val="013818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4C3F7C"/>
    <w:multiLevelType w:val="hybridMultilevel"/>
    <w:tmpl w:val="6AD25076"/>
    <w:lvl w:ilvl="0" w:tplc="3962C6F4">
      <w:numFmt w:val="bullet"/>
      <w:lvlText w:val="-"/>
      <w:lvlJc w:val="left"/>
      <w:pPr>
        <w:ind w:left="720" w:hanging="360"/>
      </w:pPr>
      <w:rPr>
        <w:rFonts w:ascii="Times New Roman" w:eastAsia="Times New Roman" w:hAnsi="Times New Roman" w:cs="Times New Roman"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9D1669"/>
    <w:multiLevelType w:val="hybridMultilevel"/>
    <w:tmpl w:val="5D18D08C"/>
    <w:lvl w:ilvl="0" w:tplc="09EAA1FE">
      <w:start w:val="1"/>
      <w:numFmt w:val="bullet"/>
      <w:lvlText w:val=""/>
      <w:lvlJc w:val="left"/>
      <w:pPr>
        <w:ind w:left="720" w:hanging="360"/>
      </w:pPr>
      <w:rPr>
        <w:rFonts w:ascii="Symbol" w:hAnsi="Symbol"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78106E"/>
    <w:multiLevelType w:val="hybridMultilevel"/>
    <w:tmpl w:val="E6EC984C"/>
    <w:lvl w:ilvl="0" w:tplc="3962C6F4">
      <w:numFmt w:val="bullet"/>
      <w:lvlText w:val="-"/>
      <w:lvlJc w:val="left"/>
      <w:pPr>
        <w:ind w:left="720" w:hanging="360"/>
      </w:pPr>
      <w:rPr>
        <w:rFonts w:ascii="Times New Roman" w:eastAsia="Times New Roman" w:hAnsi="Times New Roman" w:cs="Times New Roman"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F0328"/>
    <w:multiLevelType w:val="hybridMultilevel"/>
    <w:tmpl w:val="A6AA6A7A"/>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8B6842"/>
    <w:multiLevelType w:val="hybridMultilevel"/>
    <w:tmpl w:val="784EC27C"/>
    <w:lvl w:ilvl="0" w:tplc="B6BE1184">
      <w:start w:val="1"/>
      <w:numFmt w:val="lowerLetter"/>
      <w:lvlText w:val="%1)"/>
      <w:lvlJc w:val="left"/>
      <w:pPr>
        <w:ind w:left="720" w:hanging="360"/>
      </w:pPr>
      <w:rPr>
        <w:rFonts w:ascii="Calibri" w:hAnsi="Calibri" w:hint="default"/>
        <w:i w:val="0"/>
        <w:iCs/>
        <w:snapToGrid/>
        <w:spacing w:val="-2"/>
        <w:w w:val="110"/>
        <w:sz w:val="18"/>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586BAA"/>
    <w:multiLevelType w:val="hybridMultilevel"/>
    <w:tmpl w:val="FAFC5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CC28BF"/>
    <w:multiLevelType w:val="hybridMultilevel"/>
    <w:tmpl w:val="DEC8634E"/>
    <w:lvl w:ilvl="0" w:tplc="AD8EB962">
      <w:start w:val="1"/>
      <w:numFmt w:val="bullet"/>
      <w:lvlText w:val="-"/>
      <w:lvlJc w:val="left"/>
      <w:pPr>
        <w:ind w:left="773" w:hanging="360"/>
      </w:pPr>
      <w:rPr>
        <w:rFonts w:ascii="Verdana" w:hAnsi="Verdana" w:cs="Times New Roman" w:hint="default"/>
        <w:sz w:val="2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1" w15:restartNumberingAfterBreak="0">
    <w:nsid w:val="515B5E77"/>
    <w:multiLevelType w:val="hybridMultilevel"/>
    <w:tmpl w:val="9ADC7DB4"/>
    <w:lvl w:ilvl="0" w:tplc="AD8EB962">
      <w:start w:val="1"/>
      <w:numFmt w:val="bullet"/>
      <w:lvlText w:val="-"/>
      <w:lvlJc w:val="left"/>
      <w:pPr>
        <w:ind w:left="720" w:hanging="360"/>
      </w:pPr>
      <w:rPr>
        <w:rFonts w:ascii="Verdana" w:hAnsi="Verdana"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541ECF"/>
    <w:multiLevelType w:val="multilevel"/>
    <w:tmpl w:val="1FF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01939"/>
    <w:multiLevelType w:val="hybridMultilevel"/>
    <w:tmpl w:val="EEF48AD2"/>
    <w:lvl w:ilvl="0" w:tplc="F8F0BB44">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AA3D43"/>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65F36DD7"/>
    <w:multiLevelType w:val="hybridMultilevel"/>
    <w:tmpl w:val="3BB4E2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1F03FF"/>
    <w:multiLevelType w:val="hybridMultilevel"/>
    <w:tmpl w:val="F842C2A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CA04DE"/>
    <w:multiLevelType w:val="hybridMultilevel"/>
    <w:tmpl w:val="F652365E"/>
    <w:lvl w:ilvl="0" w:tplc="3962C6F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192F26"/>
    <w:multiLevelType w:val="hybridMultilevel"/>
    <w:tmpl w:val="14A4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D042B6"/>
    <w:multiLevelType w:val="hybridMultilevel"/>
    <w:tmpl w:val="EA6A707E"/>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51474B"/>
    <w:multiLevelType w:val="hybridMultilevel"/>
    <w:tmpl w:val="A8AA0D28"/>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9D7013"/>
    <w:multiLevelType w:val="hybridMultilevel"/>
    <w:tmpl w:val="231EA428"/>
    <w:lvl w:ilvl="0" w:tplc="12EC5FFC">
      <w:start w:val="1"/>
      <w:numFmt w:val="decimal"/>
      <w:lvlText w:val="(%1)"/>
      <w:lvlJc w:val="left"/>
      <w:pPr>
        <w:ind w:left="360" w:hanging="360"/>
      </w:pPr>
      <w:rPr>
        <w:rFonts w:cs="Times New Roman" w:hint="default"/>
        <w:i w:val="0"/>
        <w:sz w:val="18"/>
        <w:szCs w:val="18"/>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A782E4D"/>
    <w:multiLevelType w:val="hybridMultilevel"/>
    <w:tmpl w:val="001CAB44"/>
    <w:lvl w:ilvl="0" w:tplc="3962C6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A00C33"/>
    <w:multiLevelType w:val="hybridMultilevel"/>
    <w:tmpl w:val="7BA275E4"/>
    <w:lvl w:ilvl="0" w:tplc="623C16A6">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435906"/>
    <w:multiLevelType w:val="multilevel"/>
    <w:tmpl w:val="6AE094BC"/>
    <w:styleLink w:val="WW8Num2"/>
    <w:lvl w:ilvl="0">
      <w:start w:val="1"/>
      <w:numFmt w:val="lowerLetter"/>
      <w:lvlText w:val="%1)"/>
      <w:lvlJc w:val="left"/>
      <w:rPr>
        <w:rFonts w:hint="default"/>
        <w:b w:val="0"/>
        <w:bCs/>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6"/>
  </w:num>
  <w:num w:numId="5">
    <w:abstractNumId w:val="29"/>
  </w:num>
  <w:num w:numId="6">
    <w:abstractNumId w:val="2"/>
  </w:num>
  <w:num w:numId="7">
    <w:abstractNumId w:val="32"/>
  </w:num>
  <w:num w:numId="8">
    <w:abstractNumId w:val="35"/>
  </w:num>
  <w:num w:numId="9">
    <w:abstractNumId w:val="10"/>
  </w:num>
  <w:num w:numId="10">
    <w:abstractNumId w:val="17"/>
  </w:num>
  <w:num w:numId="11">
    <w:abstractNumId w:val="18"/>
  </w:num>
  <w:num w:numId="12">
    <w:abstractNumId w:val="4"/>
  </w:num>
  <w:num w:numId="13">
    <w:abstractNumId w:val="7"/>
  </w:num>
  <w:num w:numId="14">
    <w:abstractNumId w:val="13"/>
  </w:num>
  <w:num w:numId="15">
    <w:abstractNumId w:val="5"/>
  </w:num>
  <w:num w:numId="16">
    <w:abstractNumId w:val="20"/>
  </w:num>
  <w:num w:numId="17">
    <w:abstractNumId w:val="26"/>
  </w:num>
  <w:num w:numId="18">
    <w:abstractNumId w:val="25"/>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3"/>
  </w:num>
  <w:num w:numId="23">
    <w:abstractNumId w:val="1"/>
  </w:num>
  <w:num w:numId="24">
    <w:abstractNumId w:val="0"/>
  </w:num>
  <w:num w:numId="25">
    <w:abstractNumId w:val="31"/>
  </w:num>
  <w:num w:numId="26">
    <w:abstractNumId w:val="23"/>
  </w:num>
  <w:num w:numId="27">
    <w:abstractNumId w:val="30"/>
  </w:num>
  <w:num w:numId="28">
    <w:abstractNumId w:val="12"/>
  </w:num>
  <w:num w:numId="29">
    <w:abstractNumId w:val="11"/>
  </w:num>
  <w:num w:numId="30">
    <w:abstractNumId w:val="15"/>
  </w:num>
  <w:num w:numId="31">
    <w:abstractNumId w:val="27"/>
  </w:num>
  <w:num w:numId="32">
    <w:abstractNumId w:val="14"/>
  </w:num>
  <w:num w:numId="33">
    <w:abstractNumId w:val="33"/>
  </w:num>
  <w:num w:numId="34">
    <w:abstractNumId w:val="9"/>
  </w:num>
  <w:num w:numId="35">
    <w:abstractNumId w:val="16"/>
  </w:num>
  <w:num w:numId="36">
    <w:abstractNumId w:val="19"/>
  </w:num>
  <w:num w:numId="37">
    <w:abstractNumId w:val="8"/>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2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E"/>
    <w:rsid w:val="00006310"/>
    <w:rsid w:val="000068B8"/>
    <w:rsid w:val="00007061"/>
    <w:rsid w:val="00012515"/>
    <w:rsid w:val="00013243"/>
    <w:rsid w:val="00016EEF"/>
    <w:rsid w:val="00017189"/>
    <w:rsid w:val="000174EB"/>
    <w:rsid w:val="00020CB5"/>
    <w:rsid w:val="00021F88"/>
    <w:rsid w:val="00023EC8"/>
    <w:rsid w:val="00026662"/>
    <w:rsid w:val="00030D3D"/>
    <w:rsid w:val="00031A4D"/>
    <w:rsid w:val="00031F45"/>
    <w:rsid w:val="00032B75"/>
    <w:rsid w:val="00037A3B"/>
    <w:rsid w:val="00037A5C"/>
    <w:rsid w:val="00041223"/>
    <w:rsid w:val="00046333"/>
    <w:rsid w:val="00047FB2"/>
    <w:rsid w:val="00051E7B"/>
    <w:rsid w:val="00054AC8"/>
    <w:rsid w:val="00056A9D"/>
    <w:rsid w:val="00062A25"/>
    <w:rsid w:val="00065527"/>
    <w:rsid w:val="000666DD"/>
    <w:rsid w:val="00070975"/>
    <w:rsid w:val="00071DA3"/>
    <w:rsid w:val="00073EF0"/>
    <w:rsid w:val="00077187"/>
    <w:rsid w:val="00082BB8"/>
    <w:rsid w:val="00082C27"/>
    <w:rsid w:val="00082CD0"/>
    <w:rsid w:val="000846A2"/>
    <w:rsid w:val="00085A86"/>
    <w:rsid w:val="0008696A"/>
    <w:rsid w:val="00091736"/>
    <w:rsid w:val="00093CF4"/>
    <w:rsid w:val="000965DA"/>
    <w:rsid w:val="0009783E"/>
    <w:rsid w:val="000A13F3"/>
    <w:rsid w:val="000A35A4"/>
    <w:rsid w:val="000B0BB7"/>
    <w:rsid w:val="000B1BCC"/>
    <w:rsid w:val="000B2ED6"/>
    <w:rsid w:val="000B32A1"/>
    <w:rsid w:val="000B39E4"/>
    <w:rsid w:val="000B43C7"/>
    <w:rsid w:val="000C03DB"/>
    <w:rsid w:val="000C1905"/>
    <w:rsid w:val="000C43BC"/>
    <w:rsid w:val="000C4C3F"/>
    <w:rsid w:val="000C4C43"/>
    <w:rsid w:val="000D2D7C"/>
    <w:rsid w:val="000D4047"/>
    <w:rsid w:val="000D6A25"/>
    <w:rsid w:val="000D6EB4"/>
    <w:rsid w:val="000E412C"/>
    <w:rsid w:val="000E716A"/>
    <w:rsid w:val="000E73B2"/>
    <w:rsid w:val="000F3335"/>
    <w:rsid w:val="000F4AE6"/>
    <w:rsid w:val="000F5398"/>
    <w:rsid w:val="000F6126"/>
    <w:rsid w:val="000F62ED"/>
    <w:rsid w:val="000F6D69"/>
    <w:rsid w:val="001013C5"/>
    <w:rsid w:val="001017FB"/>
    <w:rsid w:val="00103E0A"/>
    <w:rsid w:val="001044E7"/>
    <w:rsid w:val="00116279"/>
    <w:rsid w:val="001203CC"/>
    <w:rsid w:val="001226AB"/>
    <w:rsid w:val="001231CD"/>
    <w:rsid w:val="001269E7"/>
    <w:rsid w:val="00126BD8"/>
    <w:rsid w:val="00130362"/>
    <w:rsid w:val="00137AE6"/>
    <w:rsid w:val="001430B7"/>
    <w:rsid w:val="001442CB"/>
    <w:rsid w:val="001500C2"/>
    <w:rsid w:val="00150904"/>
    <w:rsid w:val="00151EA6"/>
    <w:rsid w:val="00152B2F"/>
    <w:rsid w:val="001532BF"/>
    <w:rsid w:val="00160370"/>
    <w:rsid w:val="00162CA5"/>
    <w:rsid w:val="001638D7"/>
    <w:rsid w:val="0016495E"/>
    <w:rsid w:val="00170420"/>
    <w:rsid w:val="001723BB"/>
    <w:rsid w:val="00177507"/>
    <w:rsid w:val="00177FA0"/>
    <w:rsid w:val="00181B77"/>
    <w:rsid w:val="0018212C"/>
    <w:rsid w:val="00183428"/>
    <w:rsid w:val="0018598A"/>
    <w:rsid w:val="0019201F"/>
    <w:rsid w:val="00194EA7"/>
    <w:rsid w:val="00195EA6"/>
    <w:rsid w:val="00195F05"/>
    <w:rsid w:val="00196171"/>
    <w:rsid w:val="0019726C"/>
    <w:rsid w:val="001978E4"/>
    <w:rsid w:val="001A0A02"/>
    <w:rsid w:val="001A6A13"/>
    <w:rsid w:val="001A7229"/>
    <w:rsid w:val="001B1BBE"/>
    <w:rsid w:val="001B1C75"/>
    <w:rsid w:val="001B702D"/>
    <w:rsid w:val="001B7393"/>
    <w:rsid w:val="001B7F63"/>
    <w:rsid w:val="001C2295"/>
    <w:rsid w:val="001D0A35"/>
    <w:rsid w:val="001D70F3"/>
    <w:rsid w:val="001E0CA2"/>
    <w:rsid w:val="001E3050"/>
    <w:rsid w:val="001E306E"/>
    <w:rsid w:val="001E56B7"/>
    <w:rsid w:val="001E7843"/>
    <w:rsid w:val="001E7E9D"/>
    <w:rsid w:val="001F7D5C"/>
    <w:rsid w:val="00200DD3"/>
    <w:rsid w:val="0020502D"/>
    <w:rsid w:val="002103EB"/>
    <w:rsid w:val="002164D9"/>
    <w:rsid w:val="0022021E"/>
    <w:rsid w:val="0022065A"/>
    <w:rsid w:val="00223D5E"/>
    <w:rsid w:val="00224846"/>
    <w:rsid w:val="002249E0"/>
    <w:rsid w:val="002253B4"/>
    <w:rsid w:val="00227C34"/>
    <w:rsid w:val="00236D54"/>
    <w:rsid w:val="00241025"/>
    <w:rsid w:val="00243A24"/>
    <w:rsid w:val="002446A4"/>
    <w:rsid w:val="002446BD"/>
    <w:rsid w:val="002474E2"/>
    <w:rsid w:val="002511F6"/>
    <w:rsid w:val="0025250C"/>
    <w:rsid w:val="0025312A"/>
    <w:rsid w:val="00257582"/>
    <w:rsid w:val="00257B47"/>
    <w:rsid w:val="00265A8F"/>
    <w:rsid w:val="00266053"/>
    <w:rsid w:val="00275F4C"/>
    <w:rsid w:val="00276BCE"/>
    <w:rsid w:val="00277BF5"/>
    <w:rsid w:val="00280FD3"/>
    <w:rsid w:val="002819B4"/>
    <w:rsid w:val="0028200F"/>
    <w:rsid w:val="002905DD"/>
    <w:rsid w:val="002949C6"/>
    <w:rsid w:val="00294F92"/>
    <w:rsid w:val="00295FA5"/>
    <w:rsid w:val="002967C0"/>
    <w:rsid w:val="00297992"/>
    <w:rsid w:val="002A082B"/>
    <w:rsid w:val="002B0AB4"/>
    <w:rsid w:val="002B2ED7"/>
    <w:rsid w:val="002B5E40"/>
    <w:rsid w:val="002B6253"/>
    <w:rsid w:val="002B74D7"/>
    <w:rsid w:val="002B7CD3"/>
    <w:rsid w:val="002C60D6"/>
    <w:rsid w:val="002C6196"/>
    <w:rsid w:val="002C6D1A"/>
    <w:rsid w:val="002D0B01"/>
    <w:rsid w:val="002D0E1A"/>
    <w:rsid w:val="002D6DD8"/>
    <w:rsid w:val="002E0DAC"/>
    <w:rsid w:val="002E6A13"/>
    <w:rsid w:val="002E7A51"/>
    <w:rsid w:val="002F029F"/>
    <w:rsid w:val="002F1C98"/>
    <w:rsid w:val="002F28D9"/>
    <w:rsid w:val="002F44A7"/>
    <w:rsid w:val="00300ED7"/>
    <w:rsid w:val="003077A2"/>
    <w:rsid w:val="00312800"/>
    <w:rsid w:val="00312AB1"/>
    <w:rsid w:val="00313ABE"/>
    <w:rsid w:val="003148C5"/>
    <w:rsid w:val="00314958"/>
    <w:rsid w:val="00316844"/>
    <w:rsid w:val="0031785E"/>
    <w:rsid w:val="003208D4"/>
    <w:rsid w:val="0032153D"/>
    <w:rsid w:val="003232DD"/>
    <w:rsid w:val="00323B29"/>
    <w:rsid w:val="00326985"/>
    <w:rsid w:val="0033222C"/>
    <w:rsid w:val="003361E3"/>
    <w:rsid w:val="00336E3A"/>
    <w:rsid w:val="00341DCD"/>
    <w:rsid w:val="00342EA0"/>
    <w:rsid w:val="00346D1A"/>
    <w:rsid w:val="00351C16"/>
    <w:rsid w:val="00355202"/>
    <w:rsid w:val="00356E5E"/>
    <w:rsid w:val="003577C9"/>
    <w:rsid w:val="00363018"/>
    <w:rsid w:val="00364CD9"/>
    <w:rsid w:val="003669CB"/>
    <w:rsid w:val="00375E8B"/>
    <w:rsid w:val="00381256"/>
    <w:rsid w:val="00382492"/>
    <w:rsid w:val="00385A72"/>
    <w:rsid w:val="003934BD"/>
    <w:rsid w:val="00396654"/>
    <w:rsid w:val="003A0B5B"/>
    <w:rsid w:val="003A157F"/>
    <w:rsid w:val="003A4ED1"/>
    <w:rsid w:val="003C2827"/>
    <w:rsid w:val="003C3010"/>
    <w:rsid w:val="003D24EB"/>
    <w:rsid w:val="003D6955"/>
    <w:rsid w:val="003E077C"/>
    <w:rsid w:val="003F325B"/>
    <w:rsid w:val="003F64CC"/>
    <w:rsid w:val="00400D48"/>
    <w:rsid w:val="004016C7"/>
    <w:rsid w:val="00404A39"/>
    <w:rsid w:val="00404BAF"/>
    <w:rsid w:val="00406195"/>
    <w:rsid w:val="004143EF"/>
    <w:rsid w:val="004161D0"/>
    <w:rsid w:val="00427428"/>
    <w:rsid w:val="00427C2A"/>
    <w:rsid w:val="0043190B"/>
    <w:rsid w:val="00431B5E"/>
    <w:rsid w:val="004320DE"/>
    <w:rsid w:val="004336C9"/>
    <w:rsid w:val="00433EBE"/>
    <w:rsid w:val="00434525"/>
    <w:rsid w:val="00435EE2"/>
    <w:rsid w:val="00436897"/>
    <w:rsid w:val="00441636"/>
    <w:rsid w:val="0044307D"/>
    <w:rsid w:val="00443DAF"/>
    <w:rsid w:val="00444EDC"/>
    <w:rsid w:val="00444F36"/>
    <w:rsid w:val="004462F6"/>
    <w:rsid w:val="00453392"/>
    <w:rsid w:val="00453B2E"/>
    <w:rsid w:val="00453B5C"/>
    <w:rsid w:val="00455692"/>
    <w:rsid w:val="004575A1"/>
    <w:rsid w:val="00466C51"/>
    <w:rsid w:val="00467D5B"/>
    <w:rsid w:val="004701AE"/>
    <w:rsid w:val="004708F4"/>
    <w:rsid w:val="00470B22"/>
    <w:rsid w:val="004733C9"/>
    <w:rsid w:val="00474C0B"/>
    <w:rsid w:val="00474FDD"/>
    <w:rsid w:val="00481CBF"/>
    <w:rsid w:val="00485B25"/>
    <w:rsid w:val="004A2AD4"/>
    <w:rsid w:val="004A4940"/>
    <w:rsid w:val="004A6A7E"/>
    <w:rsid w:val="004A7C16"/>
    <w:rsid w:val="004B16EA"/>
    <w:rsid w:val="004B2445"/>
    <w:rsid w:val="004C0B9D"/>
    <w:rsid w:val="004C1E5A"/>
    <w:rsid w:val="004C4D7D"/>
    <w:rsid w:val="004C68A1"/>
    <w:rsid w:val="004D20B5"/>
    <w:rsid w:val="004D501E"/>
    <w:rsid w:val="004E23F7"/>
    <w:rsid w:val="004E50A6"/>
    <w:rsid w:val="004E6A27"/>
    <w:rsid w:val="004E784D"/>
    <w:rsid w:val="004F040A"/>
    <w:rsid w:val="004F2D9D"/>
    <w:rsid w:val="004F36B4"/>
    <w:rsid w:val="004F558E"/>
    <w:rsid w:val="0050603B"/>
    <w:rsid w:val="005125C1"/>
    <w:rsid w:val="00514E1D"/>
    <w:rsid w:val="00520388"/>
    <w:rsid w:val="00520B5C"/>
    <w:rsid w:val="005219EA"/>
    <w:rsid w:val="00522CA8"/>
    <w:rsid w:val="005312E7"/>
    <w:rsid w:val="00532116"/>
    <w:rsid w:val="00532EB1"/>
    <w:rsid w:val="0053532D"/>
    <w:rsid w:val="005403D0"/>
    <w:rsid w:val="0054077F"/>
    <w:rsid w:val="0054258B"/>
    <w:rsid w:val="00542BF5"/>
    <w:rsid w:val="005438C4"/>
    <w:rsid w:val="00543DAC"/>
    <w:rsid w:val="005442F6"/>
    <w:rsid w:val="0055134D"/>
    <w:rsid w:val="00552847"/>
    <w:rsid w:val="00553730"/>
    <w:rsid w:val="0055659D"/>
    <w:rsid w:val="005613B9"/>
    <w:rsid w:val="00561DDE"/>
    <w:rsid w:val="0056388F"/>
    <w:rsid w:val="0056484D"/>
    <w:rsid w:val="005667A2"/>
    <w:rsid w:val="0056799E"/>
    <w:rsid w:val="00576062"/>
    <w:rsid w:val="00582BD1"/>
    <w:rsid w:val="00583F51"/>
    <w:rsid w:val="00586C00"/>
    <w:rsid w:val="00590D1F"/>
    <w:rsid w:val="005922F8"/>
    <w:rsid w:val="005929F0"/>
    <w:rsid w:val="00592AA5"/>
    <w:rsid w:val="0059453A"/>
    <w:rsid w:val="0059661D"/>
    <w:rsid w:val="005A1DD6"/>
    <w:rsid w:val="005A3229"/>
    <w:rsid w:val="005A39E6"/>
    <w:rsid w:val="005A47C6"/>
    <w:rsid w:val="005A56CB"/>
    <w:rsid w:val="005A77EB"/>
    <w:rsid w:val="005B09EB"/>
    <w:rsid w:val="005B3186"/>
    <w:rsid w:val="005B537B"/>
    <w:rsid w:val="005B74FD"/>
    <w:rsid w:val="005C0B37"/>
    <w:rsid w:val="005C3111"/>
    <w:rsid w:val="005C4B16"/>
    <w:rsid w:val="005C5D0E"/>
    <w:rsid w:val="005C645A"/>
    <w:rsid w:val="005C6737"/>
    <w:rsid w:val="005D0F39"/>
    <w:rsid w:val="005D745E"/>
    <w:rsid w:val="005E5CB4"/>
    <w:rsid w:val="005F5C57"/>
    <w:rsid w:val="005F7523"/>
    <w:rsid w:val="00600607"/>
    <w:rsid w:val="00600ACB"/>
    <w:rsid w:val="0060692E"/>
    <w:rsid w:val="00607834"/>
    <w:rsid w:val="00607C9F"/>
    <w:rsid w:val="0061118B"/>
    <w:rsid w:val="006131B7"/>
    <w:rsid w:val="00615C9F"/>
    <w:rsid w:val="0061634C"/>
    <w:rsid w:val="0062086F"/>
    <w:rsid w:val="006215CE"/>
    <w:rsid w:val="006221EE"/>
    <w:rsid w:val="006224FF"/>
    <w:rsid w:val="006232E3"/>
    <w:rsid w:val="006244F6"/>
    <w:rsid w:val="006260EC"/>
    <w:rsid w:val="00627810"/>
    <w:rsid w:val="00630057"/>
    <w:rsid w:val="00630304"/>
    <w:rsid w:val="00631A07"/>
    <w:rsid w:val="00632B68"/>
    <w:rsid w:val="00644A2F"/>
    <w:rsid w:val="00645F04"/>
    <w:rsid w:val="006461E0"/>
    <w:rsid w:val="00650A0E"/>
    <w:rsid w:val="00651923"/>
    <w:rsid w:val="006558C1"/>
    <w:rsid w:val="0065772D"/>
    <w:rsid w:val="00661297"/>
    <w:rsid w:val="00661539"/>
    <w:rsid w:val="00661D41"/>
    <w:rsid w:val="0066216A"/>
    <w:rsid w:val="0066346B"/>
    <w:rsid w:val="00664B93"/>
    <w:rsid w:val="006651BA"/>
    <w:rsid w:val="0066799E"/>
    <w:rsid w:val="0067251A"/>
    <w:rsid w:val="0067253E"/>
    <w:rsid w:val="00672913"/>
    <w:rsid w:val="00672C2E"/>
    <w:rsid w:val="00675AD0"/>
    <w:rsid w:val="006815FB"/>
    <w:rsid w:val="00681E73"/>
    <w:rsid w:val="00684343"/>
    <w:rsid w:val="00684D6B"/>
    <w:rsid w:val="006858BB"/>
    <w:rsid w:val="006878E0"/>
    <w:rsid w:val="00690225"/>
    <w:rsid w:val="0069711B"/>
    <w:rsid w:val="006A1B9D"/>
    <w:rsid w:val="006A266A"/>
    <w:rsid w:val="006A7C8D"/>
    <w:rsid w:val="006B12D3"/>
    <w:rsid w:val="006B306E"/>
    <w:rsid w:val="006B3419"/>
    <w:rsid w:val="006B3B30"/>
    <w:rsid w:val="006B7334"/>
    <w:rsid w:val="006C0739"/>
    <w:rsid w:val="006C1837"/>
    <w:rsid w:val="006C1C9A"/>
    <w:rsid w:val="006C1D08"/>
    <w:rsid w:val="006C45D9"/>
    <w:rsid w:val="006C524F"/>
    <w:rsid w:val="006D1261"/>
    <w:rsid w:val="006D2BE1"/>
    <w:rsid w:val="006D2C37"/>
    <w:rsid w:val="006D2DCC"/>
    <w:rsid w:val="006D7D5C"/>
    <w:rsid w:val="006E159C"/>
    <w:rsid w:val="006E2191"/>
    <w:rsid w:val="006E2594"/>
    <w:rsid w:val="006E2CC4"/>
    <w:rsid w:val="006E4BA6"/>
    <w:rsid w:val="006E502D"/>
    <w:rsid w:val="006E7384"/>
    <w:rsid w:val="006E7488"/>
    <w:rsid w:val="006F1A99"/>
    <w:rsid w:val="006F206C"/>
    <w:rsid w:val="006F2921"/>
    <w:rsid w:val="006F34A6"/>
    <w:rsid w:val="006F3889"/>
    <w:rsid w:val="006F4215"/>
    <w:rsid w:val="00705DAF"/>
    <w:rsid w:val="00706AE0"/>
    <w:rsid w:val="00710907"/>
    <w:rsid w:val="00711D33"/>
    <w:rsid w:val="007136DF"/>
    <w:rsid w:val="00713AC9"/>
    <w:rsid w:val="00723A00"/>
    <w:rsid w:val="007321BE"/>
    <w:rsid w:val="00732636"/>
    <w:rsid w:val="00734A2C"/>
    <w:rsid w:val="00734FD0"/>
    <w:rsid w:val="00735CEB"/>
    <w:rsid w:val="00737DF0"/>
    <w:rsid w:val="00760844"/>
    <w:rsid w:val="007726AA"/>
    <w:rsid w:val="007747E1"/>
    <w:rsid w:val="007759AD"/>
    <w:rsid w:val="007777C5"/>
    <w:rsid w:val="007813BA"/>
    <w:rsid w:val="007825B2"/>
    <w:rsid w:val="007832C0"/>
    <w:rsid w:val="007842D3"/>
    <w:rsid w:val="00786764"/>
    <w:rsid w:val="00786B19"/>
    <w:rsid w:val="007943FC"/>
    <w:rsid w:val="00794AAF"/>
    <w:rsid w:val="00795219"/>
    <w:rsid w:val="00796275"/>
    <w:rsid w:val="0079662F"/>
    <w:rsid w:val="007A1754"/>
    <w:rsid w:val="007B0309"/>
    <w:rsid w:val="007B4B10"/>
    <w:rsid w:val="007B7B45"/>
    <w:rsid w:val="007C1D58"/>
    <w:rsid w:val="007C4A16"/>
    <w:rsid w:val="007D2D5E"/>
    <w:rsid w:val="007E1C76"/>
    <w:rsid w:val="007E3BF9"/>
    <w:rsid w:val="007E4BF7"/>
    <w:rsid w:val="007E4FE8"/>
    <w:rsid w:val="007E5A86"/>
    <w:rsid w:val="007E6FDF"/>
    <w:rsid w:val="007F7E5B"/>
    <w:rsid w:val="00800B8A"/>
    <w:rsid w:val="008029E2"/>
    <w:rsid w:val="008109A8"/>
    <w:rsid w:val="00810AAC"/>
    <w:rsid w:val="0081175F"/>
    <w:rsid w:val="0081183A"/>
    <w:rsid w:val="00812C40"/>
    <w:rsid w:val="008141D3"/>
    <w:rsid w:val="00816EF6"/>
    <w:rsid w:val="008170A3"/>
    <w:rsid w:val="00822C80"/>
    <w:rsid w:val="00823522"/>
    <w:rsid w:val="008252B5"/>
    <w:rsid w:val="00831804"/>
    <w:rsid w:val="0083246F"/>
    <w:rsid w:val="008324B4"/>
    <w:rsid w:val="00832CDC"/>
    <w:rsid w:val="00841ED5"/>
    <w:rsid w:val="00847157"/>
    <w:rsid w:val="008508EF"/>
    <w:rsid w:val="0085124A"/>
    <w:rsid w:val="00854E13"/>
    <w:rsid w:val="008558A9"/>
    <w:rsid w:val="00856B83"/>
    <w:rsid w:val="00866E9C"/>
    <w:rsid w:val="008679A2"/>
    <w:rsid w:val="0087071D"/>
    <w:rsid w:val="00876839"/>
    <w:rsid w:val="00876E8B"/>
    <w:rsid w:val="00880657"/>
    <w:rsid w:val="008816C1"/>
    <w:rsid w:val="00883467"/>
    <w:rsid w:val="008839CD"/>
    <w:rsid w:val="008853AA"/>
    <w:rsid w:val="008878FA"/>
    <w:rsid w:val="00890087"/>
    <w:rsid w:val="00890424"/>
    <w:rsid w:val="00890C8F"/>
    <w:rsid w:val="00895272"/>
    <w:rsid w:val="008A3E8D"/>
    <w:rsid w:val="008A44C0"/>
    <w:rsid w:val="008A5B4C"/>
    <w:rsid w:val="008B2D9B"/>
    <w:rsid w:val="008B6C7F"/>
    <w:rsid w:val="008B7578"/>
    <w:rsid w:val="008B791B"/>
    <w:rsid w:val="008C07F0"/>
    <w:rsid w:val="008C0BEF"/>
    <w:rsid w:val="008C4D31"/>
    <w:rsid w:val="008C6B69"/>
    <w:rsid w:val="008C7C7D"/>
    <w:rsid w:val="008D245D"/>
    <w:rsid w:val="008D2766"/>
    <w:rsid w:val="008D4EC0"/>
    <w:rsid w:val="008D6640"/>
    <w:rsid w:val="008E098B"/>
    <w:rsid w:val="008E2AC8"/>
    <w:rsid w:val="008E6144"/>
    <w:rsid w:val="008E72C9"/>
    <w:rsid w:val="008E771F"/>
    <w:rsid w:val="008F0088"/>
    <w:rsid w:val="008F26AE"/>
    <w:rsid w:val="008F2FFF"/>
    <w:rsid w:val="008F3074"/>
    <w:rsid w:val="008F421B"/>
    <w:rsid w:val="008F456B"/>
    <w:rsid w:val="00900C11"/>
    <w:rsid w:val="009050C2"/>
    <w:rsid w:val="009112F3"/>
    <w:rsid w:val="00911F09"/>
    <w:rsid w:val="00920739"/>
    <w:rsid w:val="00926B51"/>
    <w:rsid w:val="009274C0"/>
    <w:rsid w:val="00930F67"/>
    <w:rsid w:val="00932609"/>
    <w:rsid w:val="009333AD"/>
    <w:rsid w:val="009376CA"/>
    <w:rsid w:val="00942C96"/>
    <w:rsid w:val="00947106"/>
    <w:rsid w:val="00947B35"/>
    <w:rsid w:val="00950E20"/>
    <w:rsid w:val="009522B8"/>
    <w:rsid w:val="00954B6A"/>
    <w:rsid w:val="00955D87"/>
    <w:rsid w:val="00957493"/>
    <w:rsid w:val="00957A2D"/>
    <w:rsid w:val="009627A2"/>
    <w:rsid w:val="00963BB2"/>
    <w:rsid w:val="009647D1"/>
    <w:rsid w:val="00976B36"/>
    <w:rsid w:val="00981147"/>
    <w:rsid w:val="0098507D"/>
    <w:rsid w:val="00985AF1"/>
    <w:rsid w:val="00985B23"/>
    <w:rsid w:val="00986771"/>
    <w:rsid w:val="00986844"/>
    <w:rsid w:val="0098779F"/>
    <w:rsid w:val="009936BF"/>
    <w:rsid w:val="00994D8E"/>
    <w:rsid w:val="009969D9"/>
    <w:rsid w:val="00997BFA"/>
    <w:rsid w:val="009A00E3"/>
    <w:rsid w:val="009A2C75"/>
    <w:rsid w:val="009A4ADC"/>
    <w:rsid w:val="009A4FC4"/>
    <w:rsid w:val="009A7489"/>
    <w:rsid w:val="009B0894"/>
    <w:rsid w:val="009B44E3"/>
    <w:rsid w:val="009B771F"/>
    <w:rsid w:val="009C06D9"/>
    <w:rsid w:val="009C0C33"/>
    <w:rsid w:val="009C31FA"/>
    <w:rsid w:val="009C44E2"/>
    <w:rsid w:val="009D0F3E"/>
    <w:rsid w:val="009D103E"/>
    <w:rsid w:val="009D3613"/>
    <w:rsid w:val="009D50F7"/>
    <w:rsid w:val="009D6706"/>
    <w:rsid w:val="009D7984"/>
    <w:rsid w:val="009D7B04"/>
    <w:rsid w:val="009E2A56"/>
    <w:rsid w:val="009F02E4"/>
    <w:rsid w:val="009F49C3"/>
    <w:rsid w:val="00A01B07"/>
    <w:rsid w:val="00A03C1D"/>
    <w:rsid w:val="00A04DCB"/>
    <w:rsid w:val="00A13402"/>
    <w:rsid w:val="00A1510F"/>
    <w:rsid w:val="00A2155D"/>
    <w:rsid w:val="00A23027"/>
    <w:rsid w:val="00A24023"/>
    <w:rsid w:val="00A24EAF"/>
    <w:rsid w:val="00A33865"/>
    <w:rsid w:val="00A5076C"/>
    <w:rsid w:val="00A50A07"/>
    <w:rsid w:val="00A52320"/>
    <w:rsid w:val="00A536A7"/>
    <w:rsid w:val="00A61369"/>
    <w:rsid w:val="00A627CD"/>
    <w:rsid w:val="00A63200"/>
    <w:rsid w:val="00A7176D"/>
    <w:rsid w:val="00A749A2"/>
    <w:rsid w:val="00A8198A"/>
    <w:rsid w:val="00A82235"/>
    <w:rsid w:val="00A87854"/>
    <w:rsid w:val="00A910B5"/>
    <w:rsid w:val="00A9463C"/>
    <w:rsid w:val="00A96DFC"/>
    <w:rsid w:val="00A9732C"/>
    <w:rsid w:val="00AA64C4"/>
    <w:rsid w:val="00AA745B"/>
    <w:rsid w:val="00AA75AF"/>
    <w:rsid w:val="00AB27B3"/>
    <w:rsid w:val="00AB335C"/>
    <w:rsid w:val="00AB64F2"/>
    <w:rsid w:val="00AB7B08"/>
    <w:rsid w:val="00AC11D0"/>
    <w:rsid w:val="00AC6F31"/>
    <w:rsid w:val="00AD21C5"/>
    <w:rsid w:val="00AD29DA"/>
    <w:rsid w:val="00AD4AF5"/>
    <w:rsid w:val="00AE01AD"/>
    <w:rsid w:val="00AE3AE9"/>
    <w:rsid w:val="00B004D5"/>
    <w:rsid w:val="00B01963"/>
    <w:rsid w:val="00B01E0E"/>
    <w:rsid w:val="00B054D1"/>
    <w:rsid w:val="00B05ACB"/>
    <w:rsid w:val="00B05D04"/>
    <w:rsid w:val="00B069E5"/>
    <w:rsid w:val="00B1067A"/>
    <w:rsid w:val="00B11AC3"/>
    <w:rsid w:val="00B15D3C"/>
    <w:rsid w:val="00B23AC2"/>
    <w:rsid w:val="00B26333"/>
    <w:rsid w:val="00B27766"/>
    <w:rsid w:val="00B30B97"/>
    <w:rsid w:val="00B31C06"/>
    <w:rsid w:val="00B4080B"/>
    <w:rsid w:val="00B40EF8"/>
    <w:rsid w:val="00B45A3E"/>
    <w:rsid w:val="00B45E94"/>
    <w:rsid w:val="00B47FDB"/>
    <w:rsid w:val="00B50542"/>
    <w:rsid w:val="00B54DD1"/>
    <w:rsid w:val="00B56053"/>
    <w:rsid w:val="00B6024C"/>
    <w:rsid w:val="00B648C6"/>
    <w:rsid w:val="00B6526B"/>
    <w:rsid w:val="00B66958"/>
    <w:rsid w:val="00B67B81"/>
    <w:rsid w:val="00B67FB9"/>
    <w:rsid w:val="00B700E4"/>
    <w:rsid w:val="00B71AB8"/>
    <w:rsid w:val="00B72902"/>
    <w:rsid w:val="00B7446F"/>
    <w:rsid w:val="00B75522"/>
    <w:rsid w:val="00B8154D"/>
    <w:rsid w:val="00B81593"/>
    <w:rsid w:val="00B90CE5"/>
    <w:rsid w:val="00B9435B"/>
    <w:rsid w:val="00B951A1"/>
    <w:rsid w:val="00B97E55"/>
    <w:rsid w:val="00BA10AA"/>
    <w:rsid w:val="00BA20F2"/>
    <w:rsid w:val="00BA7494"/>
    <w:rsid w:val="00BB5AF7"/>
    <w:rsid w:val="00BB7173"/>
    <w:rsid w:val="00BC0A0B"/>
    <w:rsid w:val="00BC3F56"/>
    <w:rsid w:val="00BC5E41"/>
    <w:rsid w:val="00BC7C8E"/>
    <w:rsid w:val="00BD0BB4"/>
    <w:rsid w:val="00BD25CF"/>
    <w:rsid w:val="00BD4727"/>
    <w:rsid w:val="00BD7297"/>
    <w:rsid w:val="00BE4349"/>
    <w:rsid w:val="00BE5BD6"/>
    <w:rsid w:val="00BE5F9E"/>
    <w:rsid w:val="00BE7EB5"/>
    <w:rsid w:val="00BF6B53"/>
    <w:rsid w:val="00BF6ED8"/>
    <w:rsid w:val="00C04D93"/>
    <w:rsid w:val="00C05015"/>
    <w:rsid w:val="00C06691"/>
    <w:rsid w:val="00C07F25"/>
    <w:rsid w:val="00C120FA"/>
    <w:rsid w:val="00C12F8E"/>
    <w:rsid w:val="00C153E8"/>
    <w:rsid w:val="00C1587A"/>
    <w:rsid w:val="00C15F40"/>
    <w:rsid w:val="00C270EF"/>
    <w:rsid w:val="00C276A4"/>
    <w:rsid w:val="00C27FA3"/>
    <w:rsid w:val="00C30548"/>
    <w:rsid w:val="00C3530B"/>
    <w:rsid w:val="00C357C2"/>
    <w:rsid w:val="00C357D3"/>
    <w:rsid w:val="00C42F8A"/>
    <w:rsid w:val="00C47DBA"/>
    <w:rsid w:val="00C5362A"/>
    <w:rsid w:val="00C5714D"/>
    <w:rsid w:val="00C66EDF"/>
    <w:rsid w:val="00C674C7"/>
    <w:rsid w:val="00C7024E"/>
    <w:rsid w:val="00C762BD"/>
    <w:rsid w:val="00C7630F"/>
    <w:rsid w:val="00C77D0F"/>
    <w:rsid w:val="00C818D7"/>
    <w:rsid w:val="00C834FD"/>
    <w:rsid w:val="00C8651F"/>
    <w:rsid w:val="00C86F2B"/>
    <w:rsid w:val="00C90409"/>
    <w:rsid w:val="00C9327C"/>
    <w:rsid w:val="00C95319"/>
    <w:rsid w:val="00CA174C"/>
    <w:rsid w:val="00CA198F"/>
    <w:rsid w:val="00CA6C43"/>
    <w:rsid w:val="00CB24B5"/>
    <w:rsid w:val="00CB24B8"/>
    <w:rsid w:val="00CD3149"/>
    <w:rsid w:val="00CD341E"/>
    <w:rsid w:val="00CD6C91"/>
    <w:rsid w:val="00CD6D35"/>
    <w:rsid w:val="00CD7389"/>
    <w:rsid w:val="00CE107C"/>
    <w:rsid w:val="00CE10AE"/>
    <w:rsid w:val="00CE4AC2"/>
    <w:rsid w:val="00CE5119"/>
    <w:rsid w:val="00CE5883"/>
    <w:rsid w:val="00CE6C24"/>
    <w:rsid w:val="00CF2C0E"/>
    <w:rsid w:val="00CF3CC5"/>
    <w:rsid w:val="00CF5965"/>
    <w:rsid w:val="00CF7C3D"/>
    <w:rsid w:val="00D01D5F"/>
    <w:rsid w:val="00D04DC3"/>
    <w:rsid w:val="00D05D68"/>
    <w:rsid w:val="00D121A6"/>
    <w:rsid w:val="00D14A6B"/>
    <w:rsid w:val="00D17BE2"/>
    <w:rsid w:val="00D2005D"/>
    <w:rsid w:val="00D21608"/>
    <w:rsid w:val="00D21768"/>
    <w:rsid w:val="00D24072"/>
    <w:rsid w:val="00D24F7E"/>
    <w:rsid w:val="00D3396F"/>
    <w:rsid w:val="00D33D1D"/>
    <w:rsid w:val="00D34392"/>
    <w:rsid w:val="00D37532"/>
    <w:rsid w:val="00D4000C"/>
    <w:rsid w:val="00D404A2"/>
    <w:rsid w:val="00D408CB"/>
    <w:rsid w:val="00D41AF1"/>
    <w:rsid w:val="00D4481B"/>
    <w:rsid w:val="00D44C03"/>
    <w:rsid w:val="00D45660"/>
    <w:rsid w:val="00D5142B"/>
    <w:rsid w:val="00D55BFD"/>
    <w:rsid w:val="00D56ADB"/>
    <w:rsid w:val="00D623C3"/>
    <w:rsid w:val="00D635EF"/>
    <w:rsid w:val="00D703C3"/>
    <w:rsid w:val="00D704BA"/>
    <w:rsid w:val="00D71950"/>
    <w:rsid w:val="00D71DB5"/>
    <w:rsid w:val="00D727D7"/>
    <w:rsid w:val="00D73D2C"/>
    <w:rsid w:val="00D768AA"/>
    <w:rsid w:val="00D76D3D"/>
    <w:rsid w:val="00D8055A"/>
    <w:rsid w:val="00D825FA"/>
    <w:rsid w:val="00D826A6"/>
    <w:rsid w:val="00D8482C"/>
    <w:rsid w:val="00D900EA"/>
    <w:rsid w:val="00D938C3"/>
    <w:rsid w:val="00D93E0F"/>
    <w:rsid w:val="00D952AD"/>
    <w:rsid w:val="00DA5BB7"/>
    <w:rsid w:val="00DB1BE4"/>
    <w:rsid w:val="00DB31C1"/>
    <w:rsid w:val="00DB43A5"/>
    <w:rsid w:val="00DB46FA"/>
    <w:rsid w:val="00DB57A3"/>
    <w:rsid w:val="00DB5BBA"/>
    <w:rsid w:val="00DB6CC1"/>
    <w:rsid w:val="00DC0194"/>
    <w:rsid w:val="00DC24B7"/>
    <w:rsid w:val="00DC6149"/>
    <w:rsid w:val="00DC718F"/>
    <w:rsid w:val="00DD0CB8"/>
    <w:rsid w:val="00DD4BC8"/>
    <w:rsid w:val="00DD5092"/>
    <w:rsid w:val="00DE10CA"/>
    <w:rsid w:val="00DE223A"/>
    <w:rsid w:val="00DE2C73"/>
    <w:rsid w:val="00DE3776"/>
    <w:rsid w:val="00DE6E94"/>
    <w:rsid w:val="00DE7167"/>
    <w:rsid w:val="00DE72D9"/>
    <w:rsid w:val="00DF0CF9"/>
    <w:rsid w:val="00DF2399"/>
    <w:rsid w:val="00DF5158"/>
    <w:rsid w:val="00DF6A2D"/>
    <w:rsid w:val="00DF6D09"/>
    <w:rsid w:val="00DF7615"/>
    <w:rsid w:val="00E012F1"/>
    <w:rsid w:val="00E04664"/>
    <w:rsid w:val="00E049C0"/>
    <w:rsid w:val="00E101CE"/>
    <w:rsid w:val="00E1358F"/>
    <w:rsid w:val="00E15CFB"/>
    <w:rsid w:val="00E16EC1"/>
    <w:rsid w:val="00E16F7F"/>
    <w:rsid w:val="00E205E3"/>
    <w:rsid w:val="00E3297B"/>
    <w:rsid w:val="00E345CD"/>
    <w:rsid w:val="00E35C9A"/>
    <w:rsid w:val="00E37C58"/>
    <w:rsid w:val="00E42701"/>
    <w:rsid w:val="00E4731C"/>
    <w:rsid w:val="00E5040A"/>
    <w:rsid w:val="00E513FB"/>
    <w:rsid w:val="00E51980"/>
    <w:rsid w:val="00E52539"/>
    <w:rsid w:val="00E571CD"/>
    <w:rsid w:val="00E61DF7"/>
    <w:rsid w:val="00E64DDD"/>
    <w:rsid w:val="00E656FB"/>
    <w:rsid w:val="00E719BB"/>
    <w:rsid w:val="00E71F90"/>
    <w:rsid w:val="00E7215B"/>
    <w:rsid w:val="00E740F0"/>
    <w:rsid w:val="00E75448"/>
    <w:rsid w:val="00E76B1F"/>
    <w:rsid w:val="00E76E8C"/>
    <w:rsid w:val="00E7736E"/>
    <w:rsid w:val="00E81C3A"/>
    <w:rsid w:val="00E81E32"/>
    <w:rsid w:val="00E822C3"/>
    <w:rsid w:val="00E822C6"/>
    <w:rsid w:val="00E90551"/>
    <w:rsid w:val="00E9567F"/>
    <w:rsid w:val="00EA294E"/>
    <w:rsid w:val="00EA6683"/>
    <w:rsid w:val="00EA7149"/>
    <w:rsid w:val="00EB08BD"/>
    <w:rsid w:val="00EB1494"/>
    <w:rsid w:val="00EB3093"/>
    <w:rsid w:val="00EB50FA"/>
    <w:rsid w:val="00EC0320"/>
    <w:rsid w:val="00EC17CD"/>
    <w:rsid w:val="00EC4DBE"/>
    <w:rsid w:val="00EC7943"/>
    <w:rsid w:val="00ED0BCD"/>
    <w:rsid w:val="00ED4B2E"/>
    <w:rsid w:val="00ED5380"/>
    <w:rsid w:val="00EE075F"/>
    <w:rsid w:val="00EE209A"/>
    <w:rsid w:val="00EE3227"/>
    <w:rsid w:val="00EE3533"/>
    <w:rsid w:val="00EE5C87"/>
    <w:rsid w:val="00EE625B"/>
    <w:rsid w:val="00EE6799"/>
    <w:rsid w:val="00EF3B83"/>
    <w:rsid w:val="00EF403F"/>
    <w:rsid w:val="00EF4A39"/>
    <w:rsid w:val="00F002BF"/>
    <w:rsid w:val="00F06636"/>
    <w:rsid w:val="00F10A50"/>
    <w:rsid w:val="00F11DF0"/>
    <w:rsid w:val="00F13554"/>
    <w:rsid w:val="00F21CA0"/>
    <w:rsid w:val="00F2300D"/>
    <w:rsid w:val="00F245F2"/>
    <w:rsid w:val="00F24F62"/>
    <w:rsid w:val="00F2504E"/>
    <w:rsid w:val="00F2532D"/>
    <w:rsid w:val="00F3187C"/>
    <w:rsid w:val="00F33934"/>
    <w:rsid w:val="00F34E5B"/>
    <w:rsid w:val="00F3587A"/>
    <w:rsid w:val="00F35B16"/>
    <w:rsid w:val="00F41B4C"/>
    <w:rsid w:val="00F428BD"/>
    <w:rsid w:val="00F4395F"/>
    <w:rsid w:val="00F445B8"/>
    <w:rsid w:val="00F579C3"/>
    <w:rsid w:val="00F60756"/>
    <w:rsid w:val="00F6106D"/>
    <w:rsid w:val="00F646BF"/>
    <w:rsid w:val="00F65FB5"/>
    <w:rsid w:val="00F70C2F"/>
    <w:rsid w:val="00F77341"/>
    <w:rsid w:val="00F8134D"/>
    <w:rsid w:val="00F8251E"/>
    <w:rsid w:val="00F84DCD"/>
    <w:rsid w:val="00F8502B"/>
    <w:rsid w:val="00F85AAA"/>
    <w:rsid w:val="00F90CDA"/>
    <w:rsid w:val="00F911D2"/>
    <w:rsid w:val="00F9491C"/>
    <w:rsid w:val="00F97655"/>
    <w:rsid w:val="00F97BE7"/>
    <w:rsid w:val="00FA0A8F"/>
    <w:rsid w:val="00FA0FB8"/>
    <w:rsid w:val="00FA3A4D"/>
    <w:rsid w:val="00FB1429"/>
    <w:rsid w:val="00FB256B"/>
    <w:rsid w:val="00FB2638"/>
    <w:rsid w:val="00FB716A"/>
    <w:rsid w:val="00FC0E96"/>
    <w:rsid w:val="00FC2676"/>
    <w:rsid w:val="00FC3353"/>
    <w:rsid w:val="00FC3604"/>
    <w:rsid w:val="00FC3F48"/>
    <w:rsid w:val="00FC54E5"/>
    <w:rsid w:val="00FC61A9"/>
    <w:rsid w:val="00FD366C"/>
    <w:rsid w:val="00FD4484"/>
    <w:rsid w:val="00FE1D85"/>
    <w:rsid w:val="00FE790C"/>
    <w:rsid w:val="00FF2BDA"/>
    <w:rsid w:val="00FF4653"/>
    <w:rsid w:val="00FF52A9"/>
    <w:rsid w:val="00FF6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2FA1BDBA"/>
  <w15:docId w15:val="{B957F1AE-91DC-4142-914C-44943AE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306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outlineLvl w:val="0"/>
    </w:pPr>
    <w:rPr>
      <w:rFonts w:ascii="Times New Roman" w:hAnsi="Times New Roman"/>
      <w:sz w:val="28"/>
      <w:szCs w:val="24"/>
    </w:rPr>
  </w:style>
  <w:style w:type="paragraph" w:styleId="Titolo2">
    <w:name w:val="heading 2"/>
    <w:basedOn w:val="Normale"/>
    <w:next w:val="Normale"/>
    <w:link w:val="Titolo2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outlineLvl w:val="1"/>
    </w:pPr>
    <w:rPr>
      <w:rFonts w:ascii="Garamond" w:eastAsia="Arial Unicode MS" w:hAnsi="Garamond" w:cs="Arial Unicode MS"/>
      <w:b/>
      <w:i/>
      <w:sz w:val="72"/>
    </w:rPr>
  </w:style>
  <w:style w:type="paragraph" w:styleId="Titolo3">
    <w:name w:val="heading 3"/>
    <w:basedOn w:val="Normale"/>
    <w:next w:val="Normale"/>
    <w:link w:val="Titolo3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eastAsia="Arial Unicode MS" w:hAnsi="Times New Roman"/>
      <w:b/>
    </w:rPr>
  </w:style>
  <w:style w:type="paragraph" w:styleId="Titolo4">
    <w:name w:val="heading 4"/>
    <w:basedOn w:val="Normale"/>
    <w:next w:val="Normale"/>
    <w:link w:val="Titolo4Carattere"/>
    <w:unhideWhenUsed/>
    <w:qFormat/>
    <w:rsid w:val="001E306E"/>
    <w:pPr>
      <w:keepNext/>
      <w:spacing w:line="360" w:lineRule="auto"/>
      <w:ind w:right="-1"/>
      <w:textAlignment w:val="auto"/>
      <w:outlineLvl w:val="3"/>
    </w:pPr>
    <w:rPr>
      <w:rFonts w:ascii="Times New Roman" w:eastAsia="Arial Unicode MS" w:hAnsi="Times New Roman"/>
      <w:b/>
      <w:bCs/>
      <w:u w:val="single"/>
    </w:rPr>
  </w:style>
  <w:style w:type="paragraph" w:styleId="Titolo5">
    <w:name w:val="heading 5"/>
    <w:basedOn w:val="Normale"/>
    <w:next w:val="Normale"/>
    <w:link w:val="Titolo5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outlineLvl w:val="4"/>
    </w:pPr>
    <w:rPr>
      <w:rFonts w:ascii="Garamond" w:eastAsia="Arial Unicode MS" w:hAnsi="Garamond" w:cs="Arial Unicode MS"/>
      <w:b/>
    </w:rPr>
  </w:style>
  <w:style w:type="paragraph" w:styleId="Titolo6">
    <w:name w:val="heading 6"/>
    <w:basedOn w:val="Normale"/>
    <w:next w:val="Normale"/>
    <w:link w:val="Titolo6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1134" w:right="-1" w:hanging="920"/>
      <w:jc w:val="center"/>
      <w:textAlignment w:val="auto"/>
      <w:outlineLvl w:val="5"/>
    </w:pPr>
    <w:rPr>
      <w:rFonts w:ascii="Garamond" w:eastAsia="Arial Unicode MS" w:hAnsi="Garamond" w:cs="Arial Unicode MS"/>
      <w:b/>
    </w:rPr>
  </w:style>
  <w:style w:type="paragraph" w:styleId="Titolo7">
    <w:name w:val="heading 7"/>
    <w:basedOn w:val="Normale"/>
    <w:next w:val="Normale"/>
    <w:link w:val="Titolo7Carattere"/>
    <w:unhideWhenUsed/>
    <w:qFormat/>
    <w:rsid w:val="001E306E"/>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right="-1"/>
      <w:textAlignment w:val="auto"/>
      <w:outlineLvl w:val="6"/>
    </w:pPr>
    <w:rPr>
      <w:rFonts w:ascii="Times New Roman" w:hAnsi="Times New Roman"/>
      <w:b/>
      <w:iCs/>
      <w:sz w:val="22"/>
    </w:rPr>
  </w:style>
  <w:style w:type="paragraph" w:styleId="Titolo8">
    <w:name w:val="heading 8"/>
    <w:basedOn w:val="Normale"/>
    <w:next w:val="Normale"/>
    <w:link w:val="Titolo8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7"/>
    </w:pPr>
    <w:rPr>
      <w:rFonts w:ascii="Times New Roman" w:hAnsi="Times New Roman"/>
      <w:i/>
      <w:iCs/>
      <w:szCs w:val="24"/>
      <w:u w:val="single"/>
    </w:rPr>
  </w:style>
  <w:style w:type="paragraph" w:styleId="Titolo9">
    <w:name w:val="heading 9"/>
    <w:basedOn w:val="Normale"/>
    <w:next w:val="Normale"/>
    <w:link w:val="Titolo9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0"/>
      </w:tabs>
      <w:spacing w:line="360" w:lineRule="auto"/>
      <w:textAlignment w:val="auto"/>
      <w:outlineLvl w:val="8"/>
    </w:pPr>
    <w:rPr>
      <w:rFonts w:ascii="Times New Roman" w:hAnsi="Times New Roman"/>
      <w:b/>
      <w:iCs/>
      <w:sz w:val="28"/>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306E"/>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1E306E"/>
    <w:rPr>
      <w:rFonts w:ascii="Garamond" w:eastAsia="Arial Unicode MS" w:hAnsi="Garamond" w:cs="Arial Unicode MS"/>
      <w:b/>
      <w:i/>
      <w:sz w:val="72"/>
      <w:szCs w:val="20"/>
      <w:lang w:eastAsia="it-IT"/>
    </w:rPr>
  </w:style>
  <w:style w:type="character" w:customStyle="1" w:styleId="Titolo3Carattere">
    <w:name w:val="Titolo 3 Carattere"/>
    <w:basedOn w:val="Carpredefinitoparagrafo"/>
    <w:link w:val="Titolo3"/>
    <w:rsid w:val="001E306E"/>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rsid w:val="001E306E"/>
    <w:rPr>
      <w:rFonts w:ascii="Times New Roman" w:eastAsia="Arial Unicode MS" w:hAnsi="Times New Roman" w:cs="Times New Roman"/>
      <w:b/>
      <w:bCs/>
      <w:sz w:val="24"/>
      <w:szCs w:val="20"/>
      <w:u w:val="single"/>
      <w:lang w:eastAsia="it-IT"/>
    </w:rPr>
  </w:style>
  <w:style w:type="character" w:customStyle="1" w:styleId="Titolo5Carattere">
    <w:name w:val="Titolo 5 Carattere"/>
    <w:basedOn w:val="Carpredefinitoparagrafo"/>
    <w:link w:val="Titolo5"/>
    <w:rsid w:val="001E306E"/>
    <w:rPr>
      <w:rFonts w:ascii="Garamond" w:eastAsia="Arial Unicode MS" w:hAnsi="Garamond" w:cs="Arial Unicode MS"/>
      <w:b/>
      <w:sz w:val="24"/>
      <w:szCs w:val="20"/>
      <w:lang w:eastAsia="it-IT"/>
    </w:rPr>
  </w:style>
  <w:style w:type="character" w:customStyle="1" w:styleId="Titolo6Carattere">
    <w:name w:val="Titolo 6 Carattere"/>
    <w:basedOn w:val="Carpredefinitoparagrafo"/>
    <w:link w:val="Titolo6"/>
    <w:rsid w:val="001E306E"/>
    <w:rPr>
      <w:rFonts w:ascii="Garamond" w:eastAsia="Arial Unicode MS" w:hAnsi="Garamond" w:cs="Arial Unicode MS"/>
      <w:b/>
      <w:sz w:val="24"/>
      <w:szCs w:val="20"/>
      <w:lang w:eastAsia="it-IT"/>
    </w:rPr>
  </w:style>
  <w:style w:type="character" w:customStyle="1" w:styleId="Titolo7Carattere">
    <w:name w:val="Titolo 7 Carattere"/>
    <w:basedOn w:val="Carpredefinitoparagrafo"/>
    <w:link w:val="Titolo7"/>
    <w:rsid w:val="001E306E"/>
    <w:rPr>
      <w:rFonts w:ascii="Times New Roman" w:eastAsia="Times New Roman" w:hAnsi="Times New Roman" w:cs="Times New Roman"/>
      <w:b/>
      <w:iCs/>
      <w:szCs w:val="20"/>
      <w:lang w:eastAsia="it-IT"/>
    </w:rPr>
  </w:style>
  <w:style w:type="character" w:customStyle="1" w:styleId="Titolo8Carattere">
    <w:name w:val="Titolo 8 Carattere"/>
    <w:basedOn w:val="Carpredefinitoparagrafo"/>
    <w:link w:val="Titolo8"/>
    <w:semiHidden/>
    <w:rsid w:val="001E306E"/>
    <w:rPr>
      <w:rFonts w:ascii="Times New Roman" w:eastAsia="Times New Roman" w:hAnsi="Times New Roman" w:cs="Times New Roman"/>
      <w:i/>
      <w:iCs/>
      <w:sz w:val="24"/>
      <w:szCs w:val="24"/>
      <w:u w:val="single"/>
      <w:lang w:eastAsia="it-IT"/>
    </w:rPr>
  </w:style>
  <w:style w:type="character" w:customStyle="1" w:styleId="Titolo9Carattere">
    <w:name w:val="Titolo 9 Carattere"/>
    <w:basedOn w:val="Carpredefinitoparagrafo"/>
    <w:link w:val="Titolo9"/>
    <w:rsid w:val="001E306E"/>
    <w:rPr>
      <w:rFonts w:ascii="Times New Roman" w:eastAsia="Times New Roman" w:hAnsi="Times New Roman" w:cs="Times New Roman"/>
      <w:b/>
      <w:iCs/>
      <w:sz w:val="28"/>
      <w:szCs w:val="24"/>
      <w:u w:val="single"/>
      <w:lang w:eastAsia="it-IT"/>
    </w:rPr>
  </w:style>
  <w:style w:type="paragraph" w:customStyle="1" w:styleId="Delibera">
    <w:name w:val="Delibera"/>
    <w:basedOn w:val="Normale"/>
    <w:rsid w:val="001E306E"/>
    <w:pPr>
      <w:widowControl w:val="0"/>
      <w:tabs>
        <w:tab w:val="clear" w:pos="5103"/>
        <w:tab w:val="clear" w:pos="5670"/>
      </w:tabs>
      <w:spacing w:line="360" w:lineRule="auto"/>
    </w:pPr>
    <w:rPr>
      <w:rFonts w:ascii="Times New Roman" w:hAnsi="Times New Roman"/>
    </w:rPr>
  </w:style>
  <w:style w:type="character" w:styleId="Numeropagina">
    <w:name w:val="page number"/>
    <w:basedOn w:val="Carpredefinitoparagrafo"/>
    <w:rsid w:val="001E306E"/>
    <w:rPr>
      <w:rFonts w:ascii="Times" w:hAnsi="Times"/>
      <w:b/>
      <w:sz w:val="32"/>
    </w:rPr>
  </w:style>
  <w:style w:type="paragraph" w:styleId="Pidipagina">
    <w:name w:val="footer"/>
    <w:basedOn w:val="Normale"/>
    <w:link w:val="PidipaginaCarattere"/>
    <w:uiPriority w:val="99"/>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1E306E"/>
    <w:rPr>
      <w:rFonts w:ascii="Times New Roman" w:eastAsia="Times New Roman" w:hAnsi="Times New Roman" w:cs="Times New Roman"/>
      <w:sz w:val="20"/>
      <w:szCs w:val="20"/>
      <w:lang w:eastAsia="it-IT"/>
    </w:rPr>
  </w:style>
  <w:style w:type="paragraph" w:customStyle="1" w:styleId="verbale">
    <w:name w:val="verbale"/>
    <w:basedOn w:val="Normale"/>
    <w:rsid w:val="001E306E"/>
    <w:pPr>
      <w:tabs>
        <w:tab w:val="clear" w:pos="2552"/>
        <w:tab w:val="clear" w:pos="2835"/>
        <w:tab w:val="clear" w:pos="3119"/>
        <w:tab w:val="clear" w:pos="3402"/>
        <w:tab w:val="clear" w:pos="3686"/>
        <w:tab w:val="clear" w:pos="3969"/>
        <w:tab w:val="clear" w:pos="4253"/>
        <w:tab w:val="clear" w:pos="4536"/>
        <w:tab w:val="clear" w:pos="5103"/>
        <w:tab w:val="clear" w:pos="5670"/>
      </w:tabs>
      <w:spacing w:line="480" w:lineRule="exact"/>
      <w:jc w:val="left"/>
    </w:pPr>
    <w:rPr>
      <w:rFonts w:ascii="Courier (W1)" w:hAnsi="Courier (W1)"/>
    </w:rPr>
  </w:style>
  <w:style w:type="paragraph" w:customStyle="1" w:styleId="TitoloDocumento">
    <w:name w:val="Titolo Documento"/>
    <w:basedOn w:val="Delibera"/>
    <w:rsid w:val="001E306E"/>
  </w:style>
  <w:style w:type="paragraph" w:styleId="Intestazione">
    <w:name w:val="header"/>
    <w:basedOn w:val="Normale"/>
    <w:link w:val="IntestazioneCarattere"/>
    <w:uiPriority w:val="99"/>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overflowPunct/>
      <w:autoSpaceDE/>
      <w:autoSpaceDN/>
      <w:adjustRightInd/>
      <w:jc w:val="left"/>
      <w:textAlignment w:val="auto"/>
    </w:pPr>
    <w:rPr>
      <w:rFonts w:ascii="Times New Roman" w:hAnsi="Times New Roman"/>
      <w:szCs w:val="24"/>
    </w:rPr>
  </w:style>
  <w:style w:type="character" w:customStyle="1" w:styleId="IntestazioneCarattere">
    <w:name w:val="Intestazione Carattere"/>
    <w:basedOn w:val="Carpredefinitoparagrafo"/>
    <w:link w:val="Intestazione"/>
    <w:uiPriority w:val="99"/>
    <w:rsid w:val="001E306E"/>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pPr>
    <w:rPr>
      <w:rFonts w:ascii="Times New Roman" w:hAnsi="Times New Roman"/>
      <w:sz w:val="20"/>
      <w:szCs w:val="24"/>
      <w:lang w:val="en-GB"/>
    </w:rPr>
  </w:style>
  <w:style w:type="character" w:customStyle="1" w:styleId="CorpotestoCarattere">
    <w:name w:val="Corpo testo Carattere"/>
    <w:basedOn w:val="Carpredefinitoparagrafo"/>
    <w:link w:val="Corpotesto"/>
    <w:rsid w:val="001E306E"/>
    <w:rPr>
      <w:rFonts w:ascii="Times New Roman" w:eastAsia="Times New Roman" w:hAnsi="Times New Roman" w:cs="Times New Roman"/>
      <w:sz w:val="20"/>
      <w:szCs w:val="24"/>
      <w:lang w:val="en-GB" w:eastAsia="it-IT"/>
    </w:rPr>
  </w:style>
  <w:style w:type="paragraph" w:styleId="Rientrocorpodeltesto">
    <w:name w:val="Body Text Indent"/>
    <w:basedOn w:val="Normale"/>
    <w:link w:val="Rientro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ind w:left="4320"/>
      <w:textAlignment w:val="auto"/>
    </w:pPr>
    <w:rPr>
      <w:rFonts w:ascii="Times New Roman" w:hAnsi="Times New Roman"/>
      <w:sz w:val="22"/>
      <w:szCs w:val="14"/>
    </w:rPr>
  </w:style>
  <w:style w:type="character" w:customStyle="1" w:styleId="RientrocorpodeltestoCarattere">
    <w:name w:val="Rientro corpo del testo Carattere"/>
    <w:basedOn w:val="Carpredefinitoparagrafo"/>
    <w:link w:val="Rientrocorpodeltesto"/>
    <w:rsid w:val="001E306E"/>
    <w:rPr>
      <w:rFonts w:ascii="Times New Roman" w:eastAsia="Times New Roman" w:hAnsi="Times New Roman" w:cs="Times New Roman"/>
      <w:szCs w:val="14"/>
      <w:lang w:eastAsia="it-IT"/>
    </w:rPr>
  </w:style>
  <w:style w:type="paragraph" w:styleId="Corpodeltesto2">
    <w:name w:val="Body Text 2"/>
    <w:basedOn w:val="Normale"/>
    <w:link w:val="Corpodeltesto2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textAlignment w:val="auto"/>
    </w:pPr>
    <w:rPr>
      <w:rFonts w:ascii="Times New Roman" w:hAnsi="Times New Roman"/>
      <w:b/>
      <w:bCs/>
      <w:szCs w:val="24"/>
    </w:rPr>
  </w:style>
  <w:style w:type="character" w:customStyle="1" w:styleId="Corpodeltesto2Carattere">
    <w:name w:val="Corpo del testo 2 Carattere"/>
    <w:basedOn w:val="Carpredefinitoparagrafo"/>
    <w:link w:val="Corpodeltesto2"/>
    <w:rsid w:val="001E306E"/>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jc w:val="left"/>
      <w:textAlignment w:val="auto"/>
    </w:pPr>
    <w:rPr>
      <w:rFonts w:ascii="Times New Roman" w:hAnsi="Times New Roman"/>
      <w:sz w:val="28"/>
      <w:szCs w:val="24"/>
    </w:rPr>
  </w:style>
  <w:style w:type="character" w:customStyle="1" w:styleId="Corpodeltesto3Carattere">
    <w:name w:val="Corpo del testo 3 Carattere"/>
    <w:basedOn w:val="Carpredefinitoparagrafo"/>
    <w:link w:val="Corpodeltesto3"/>
    <w:rsid w:val="001E306E"/>
    <w:rPr>
      <w:rFonts w:ascii="Times New Roman" w:eastAsia="Times New Roman" w:hAnsi="Times New Roman" w:cs="Times New Roman"/>
      <w:sz w:val="28"/>
      <w:szCs w:val="24"/>
      <w:lang w:eastAsia="it-IT"/>
    </w:rPr>
  </w:style>
  <w:style w:type="paragraph" w:customStyle="1" w:styleId="Corpodeltesto21">
    <w:name w:val="Corpo del testo 2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Corpodeltesto31">
    <w:name w:val="Corpo del testo 31"/>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webtesto">
    <w:name w:val="webtesto"/>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Normale2">
    <w:name w:val="Normale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284"/>
      </w:tabs>
      <w:textAlignment w:val="auto"/>
    </w:pPr>
    <w:rPr>
      <w:rFonts w:ascii="CG Times" w:hAnsi="CG Times"/>
    </w:rPr>
  </w:style>
  <w:style w:type="paragraph" w:customStyle="1" w:styleId="Testodelblocco1">
    <w:name w:val="Testo del blocco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character" w:customStyle="1" w:styleId="CharacterStyle1">
    <w:name w:val="Character Style 1"/>
    <w:uiPriority w:val="99"/>
    <w:rsid w:val="001E306E"/>
    <w:rPr>
      <w:sz w:val="24"/>
      <w:szCs w:val="24"/>
    </w:rPr>
  </w:style>
  <w:style w:type="character" w:customStyle="1" w:styleId="apple-converted-space">
    <w:name w:val="apple-converted-space"/>
    <w:basedOn w:val="Carpredefinitoparagrafo"/>
    <w:rsid w:val="001E306E"/>
  </w:style>
  <w:style w:type="character" w:customStyle="1" w:styleId="apple-style-span">
    <w:name w:val="apple-style-span"/>
    <w:basedOn w:val="Carpredefinitoparagrafo"/>
    <w:rsid w:val="001E306E"/>
  </w:style>
  <w:style w:type="character" w:styleId="Enfasicorsivo">
    <w:name w:val="Emphasis"/>
    <w:basedOn w:val="Carpredefinitoparagrafo"/>
    <w:uiPriority w:val="20"/>
    <w:qFormat/>
    <w:rsid w:val="001E306E"/>
    <w:rPr>
      <w:i/>
      <w:iCs/>
    </w:rPr>
  </w:style>
  <w:style w:type="character" w:styleId="Enfasigrassetto">
    <w:name w:val="Strong"/>
    <w:basedOn w:val="Carpredefinitoparagrafo"/>
    <w:uiPriority w:val="22"/>
    <w:qFormat/>
    <w:rsid w:val="001E306E"/>
    <w:rPr>
      <w:b/>
      <w:bCs/>
    </w:rPr>
  </w:style>
  <w:style w:type="paragraph" w:customStyle="1" w:styleId="Sous-titre1">
    <w:name w:val="Sous-titre 1"/>
    <w:basedOn w:val="Normale"/>
    <w:next w:val="Normale"/>
    <w:autoRedefine/>
    <w:rsid w:val="001E306E"/>
    <w:pPr>
      <w:tabs>
        <w:tab w:val="clear" w:pos="2835"/>
        <w:tab w:val="clear" w:pos="3402"/>
        <w:tab w:val="clear" w:pos="3686"/>
        <w:tab w:val="clear" w:pos="3969"/>
        <w:tab w:val="clear" w:pos="4536"/>
        <w:tab w:val="clear" w:pos="5103"/>
        <w:tab w:val="clear" w:pos="5670"/>
        <w:tab w:val="left" w:pos="284"/>
        <w:tab w:val="left" w:pos="5954"/>
        <w:tab w:val="left" w:pos="8222"/>
        <w:tab w:val="right" w:pos="11057"/>
      </w:tabs>
      <w:overflowPunct/>
      <w:autoSpaceDE/>
      <w:autoSpaceDN/>
      <w:adjustRightInd/>
      <w:snapToGrid w:val="0"/>
      <w:spacing w:before="240" w:after="80"/>
      <w:textAlignment w:val="auto"/>
      <w:outlineLvl w:val="0"/>
    </w:pPr>
    <w:rPr>
      <w:rFonts w:ascii="Arial" w:hAnsi="Arial"/>
      <w:b/>
      <w:lang w:val="en-GB" w:eastAsia="en-GB"/>
    </w:rPr>
  </w:style>
  <w:style w:type="character" w:customStyle="1" w:styleId="event-abstract1">
    <w:name w:val="event-abstract1"/>
    <w:basedOn w:val="Carpredefinitoparagrafo"/>
    <w:rsid w:val="001E306E"/>
    <w:rPr>
      <w:vanish w:val="0"/>
      <w:webHidden w:val="0"/>
      <w:specVanish w:val="0"/>
    </w:rPr>
  </w:style>
  <w:style w:type="paragraph" w:customStyle="1" w:styleId="ODG">
    <w:name w:val="ODG"/>
    <w:basedOn w:val="Normale"/>
    <w:rsid w:val="001E306E"/>
    <w:pPr>
      <w:widowControl w:val="0"/>
      <w:tabs>
        <w:tab w:val="clear" w:pos="3119"/>
        <w:tab w:val="clear" w:pos="3402"/>
        <w:tab w:val="clear" w:pos="3686"/>
        <w:tab w:val="clear" w:pos="3969"/>
        <w:tab w:val="clear" w:pos="4253"/>
        <w:tab w:val="clear" w:pos="4536"/>
        <w:tab w:val="clear" w:pos="5103"/>
        <w:tab w:val="clear" w:pos="5670"/>
      </w:tabs>
      <w:ind w:left="1134" w:hanging="1134"/>
      <w:textAlignment w:val="auto"/>
    </w:pPr>
    <w:rPr>
      <w:rFonts w:ascii="Times New Roman" w:hAnsi="Times New Roman"/>
    </w:rPr>
  </w:style>
  <w:style w:type="paragraph" w:customStyle="1" w:styleId="Corpodeltesto22">
    <w:name w:val="Corpo del testo 2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customStyle="1" w:styleId="Corpodeltesto32">
    <w:name w:val="Corpo del testo 3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Testodelblocco2">
    <w:name w:val="Testo del blocco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paragraph" w:styleId="Paragrafoelenco">
    <w:name w:val="List Paragraph"/>
    <w:basedOn w:val="Normale"/>
    <w:uiPriority w:val="34"/>
    <w:qFormat/>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Style2">
    <w:name w:val="Style 2"/>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720"/>
      <w:textAlignment w:val="auto"/>
    </w:pPr>
    <w:rPr>
      <w:rFonts w:ascii="Times New Roman" w:eastAsia="Calibri" w:hAnsi="Times New Roman"/>
      <w:i/>
      <w:iCs/>
      <w:sz w:val="22"/>
      <w:szCs w:val="22"/>
      <w:lang w:eastAsia="en-US"/>
    </w:rPr>
  </w:style>
  <w:style w:type="paragraph" w:customStyle="1" w:styleId="Style3">
    <w:name w:val="Style 3"/>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character" w:customStyle="1" w:styleId="CharacterStyle2">
    <w:name w:val="Character Style 2"/>
    <w:uiPriority w:val="99"/>
    <w:rsid w:val="001E306E"/>
    <w:rPr>
      <w:i/>
      <w:iCs/>
      <w:sz w:val="22"/>
      <w:szCs w:val="22"/>
    </w:rPr>
  </w:style>
  <w:style w:type="paragraph" w:customStyle="1" w:styleId="Corpodeltesto23">
    <w:name w:val="Corpo del testo 23"/>
    <w:basedOn w:val="Normale"/>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styleId="Testonotaapidipagina">
    <w:name w:val="footnote text"/>
    <w:basedOn w:val="Normale"/>
    <w:link w:val="TestonotaapidipaginaCarattere"/>
    <w:uiPriority w:val="99"/>
    <w:semiHidden/>
    <w:unhideWhenUsed/>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723A0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23A00"/>
    <w:rPr>
      <w:vertAlign w:val="superscript"/>
    </w:rPr>
  </w:style>
  <w:style w:type="paragraph" w:styleId="Testofumetto">
    <w:name w:val="Balloon Text"/>
    <w:basedOn w:val="Normale"/>
    <w:link w:val="TestofumettoCarattere"/>
    <w:uiPriority w:val="99"/>
    <w:semiHidden/>
    <w:unhideWhenUsed/>
    <w:rsid w:val="005A1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DD6"/>
    <w:rPr>
      <w:rFonts w:ascii="Tahoma" w:eastAsia="Times New Roman" w:hAnsi="Tahoma" w:cs="Tahoma"/>
      <w:sz w:val="16"/>
      <w:szCs w:val="16"/>
      <w:lang w:eastAsia="it-IT"/>
    </w:rPr>
  </w:style>
  <w:style w:type="table" w:styleId="Grigliatabella">
    <w:name w:val="Table Grid"/>
    <w:basedOn w:val="Tabellanormale"/>
    <w:uiPriority w:val="59"/>
    <w:rsid w:val="0092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4">
    <w:name w:val="Corpo del testo 24"/>
    <w:basedOn w:val="Normale"/>
    <w:rsid w:val="007B030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Style1">
    <w:name w:val="Style 1"/>
    <w:basedOn w:val="Normale"/>
    <w:uiPriority w:val="99"/>
    <w:rsid w:val="00A627C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ahoma" w:eastAsiaTheme="minorHAnsi" w:hAnsi="Tahoma" w:cs="Tahoma"/>
      <w:szCs w:val="24"/>
      <w:lang w:eastAsia="en-US"/>
    </w:rPr>
  </w:style>
  <w:style w:type="paragraph" w:styleId="Nessunaspaziatura">
    <w:name w:val="No Spacing"/>
    <w:uiPriority w:val="1"/>
    <w:qFormat/>
    <w:rsid w:val="00054AC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Style4">
    <w:name w:val="Style 4"/>
    <w:basedOn w:val="Normale"/>
    <w:uiPriority w:val="99"/>
    <w:rsid w:val="00C77D0F"/>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108" w:line="278" w:lineRule="auto"/>
      <w:ind w:right="72"/>
      <w:textAlignment w:val="auto"/>
    </w:pPr>
    <w:rPr>
      <w:rFonts w:ascii="Tahoma" w:eastAsiaTheme="minorHAnsi" w:hAnsi="Tahoma" w:cs="Tahoma"/>
      <w:sz w:val="19"/>
      <w:szCs w:val="19"/>
      <w:lang w:eastAsia="en-US"/>
    </w:rPr>
  </w:style>
  <w:style w:type="character" w:customStyle="1" w:styleId="CharacterStyle4">
    <w:name w:val="Character Style 4"/>
    <w:uiPriority w:val="99"/>
    <w:rsid w:val="00C77D0F"/>
    <w:rPr>
      <w:sz w:val="20"/>
      <w:szCs w:val="20"/>
    </w:rPr>
  </w:style>
  <w:style w:type="paragraph" w:customStyle="1" w:styleId="Default">
    <w:name w:val="Default"/>
    <w:rsid w:val="003E077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Standard">
    <w:name w:val="Standard"/>
    <w:rsid w:val="00026662"/>
    <w:pPr>
      <w:suppressAutoHyphens/>
      <w:autoSpaceDN w:val="0"/>
      <w:textAlignment w:val="baseline"/>
    </w:pPr>
    <w:rPr>
      <w:rFonts w:ascii="Calibri" w:eastAsia="Calibri" w:hAnsi="Calibri" w:cs="Times New Roman"/>
      <w:kern w:val="3"/>
      <w:lang w:eastAsia="zh-CN"/>
    </w:rPr>
  </w:style>
  <w:style w:type="numbering" w:customStyle="1" w:styleId="WW8Num2">
    <w:name w:val="WW8Num2"/>
    <w:basedOn w:val="Nessunelenco"/>
    <w:rsid w:val="00026662"/>
    <w:pPr>
      <w:numPr>
        <w:numId w:val="8"/>
      </w:numPr>
    </w:pPr>
  </w:style>
  <w:style w:type="numbering" w:customStyle="1" w:styleId="WW8Num4">
    <w:name w:val="WW8Num4"/>
    <w:basedOn w:val="Nessunelenco"/>
    <w:rsid w:val="00026662"/>
    <w:pPr>
      <w:numPr>
        <w:numId w:val="9"/>
      </w:numPr>
    </w:pPr>
  </w:style>
  <w:style w:type="character" w:styleId="Collegamentoipertestuale">
    <w:name w:val="Hyperlink"/>
    <w:basedOn w:val="Carpredefinitoparagrafo"/>
    <w:uiPriority w:val="99"/>
    <w:semiHidden/>
    <w:unhideWhenUsed/>
    <w:rsid w:val="00E9567F"/>
    <w:rPr>
      <w:rFonts w:ascii="Arial" w:hAnsi="Arial" w:cs="Arial" w:hint="default"/>
      <w:strike w:val="0"/>
      <w:dstrike w:val="0"/>
      <w:color w:val="00386B"/>
      <w:sz w:val="24"/>
      <w:szCs w:val="24"/>
      <w:u w:val="none"/>
      <w:effect w:val="none"/>
      <w:shd w:val="clear" w:color="auto" w:fill="auto"/>
      <w:vertAlign w:val="baseline"/>
    </w:rPr>
  </w:style>
  <w:style w:type="paragraph" w:styleId="PreformattatoHTML">
    <w:name w:val="HTML Preformatted"/>
    <w:basedOn w:val="Normale"/>
    <w:link w:val="PreformattatoHTMLCarattere"/>
    <w:uiPriority w:val="99"/>
    <w:unhideWhenUsed/>
    <w:rsid w:val="009C44E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9C44E2"/>
    <w:rPr>
      <w:rFonts w:ascii="Courier New" w:eastAsia="Times New Roman" w:hAnsi="Courier New" w:cs="Courier New"/>
      <w:sz w:val="20"/>
      <w:szCs w:val="20"/>
      <w:lang w:eastAsia="it-IT"/>
    </w:rPr>
  </w:style>
  <w:style w:type="paragraph" w:styleId="NormaleWeb">
    <w:name w:val="Normal (Web)"/>
    <w:basedOn w:val="Normale"/>
    <w:uiPriority w:val="99"/>
    <w:unhideWhenUsed/>
    <w:rsid w:val="001D0A3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75"/>
      <w:jc w:val="left"/>
      <w:textAlignment w:val="auto"/>
    </w:pPr>
    <w:rPr>
      <w:rFonts w:ascii="Times New Roman" w:hAnsi="Times New Roman"/>
      <w:szCs w:val="24"/>
    </w:rPr>
  </w:style>
  <w:style w:type="paragraph" w:customStyle="1" w:styleId="xmsonormal">
    <w:name w:val="x_msonormal"/>
    <w:basedOn w:val="Normale"/>
    <w:rsid w:val="00B2776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Times New Roman" w:hAnsi="Times New Roman"/>
      <w:szCs w:val="24"/>
    </w:rPr>
  </w:style>
  <w:style w:type="paragraph" w:customStyle="1" w:styleId="Style7">
    <w:name w:val="Style 7"/>
    <w:basedOn w:val="Normale"/>
    <w:uiPriority w:val="99"/>
    <w:rsid w:val="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pPr>
    <w:rPr>
      <w:rFonts w:ascii="Times New Roman" w:eastAsiaTheme="minorHAnsi" w:hAnsi="Times New Roman"/>
      <w:sz w:val="20"/>
      <w:lang w:eastAsia="en-US"/>
    </w:rPr>
  </w:style>
  <w:style w:type="character" w:customStyle="1" w:styleId="CharacterStyle3">
    <w:name w:val="Character Style 3"/>
    <w:rsid w:val="00FC3353"/>
    <w:rPr>
      <w:rFonts w:ascii="Book Antiqua" w:hAnsi="Book Antiqua" w:cs="Book Antiqua"/>
      <w:sz w:val="24"/>
      <w:szCs w:val="24"/>
    </w:rPr>
  </w:style>
  <w:style w:type="paragraph" w:customStyle="1" w:styleId="Style11">
    <w:name w:val="Style 11"/>
    <w:basedOn w:val="Normale"/>
    <w:uiPriority w:val="99"/>
    <w:rsid w:val="0066216A"/>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288" w:after="3240" w:line="360" w:lineRule="auto"/>
      <w:textAlignment w:val="auto"/>
    </w:pPr>
    <w:rPr>
      <w:rFonts w:ascii="Book Antiqua" w:eastAsiaTheme="minorHAnsi" w:hAnsi="Book Antiqua" w:cs="Book Antiqua"/>
      <w:szCs w:val="24"/>
      <w:lang w:eastAsia="en-US"/>
    </w:rPr>
  </w:style>
  <w:style w:type="paragraph" w:customStyle="1" w:styleId="Style12">
    <w:name w:val="Style 12"/>
    <w:basedOn w:val="Normale"/>
    <w:uiPriority w:val="99"/>
    <w:rsid w:val="0066216A"/>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line="204" w:lineRule="exact"/>
      <w:jc w:val="left"/>
      <w:textAlignment w:val="auto"/>
    </w:pPr>
    <w:rPr>
      <w:rFonts w:ascii="Times New Roman" w:eastAsiaTheme="minorHAnsi" w:hAnsi="Times New Roman"/>
      <w:sz w:val="25"/>
      <w:szCs w:val="25"/>
      <w:lang w:eastAsia="en-US"/>
    </w:rPr>
  </w:style>
  <w:style w:type="character" w:customStyle="1" w:styleId="CharacterStyle6">
    <w:name w:val="Character Style 6"/>
    <w:uiPriority w:val="99"/>
    <w:rsid w:val="0066216A"/>
    <w:rPr>
      <w:sz w:val="25"/>
      <w:szCs w:val="25"/>
    </w:rPr>
  </w:style>
  <w:style w:type="table" w:customStyle="1" w:styleId="TableGrid">
    <w:name w:val="TableGrid"/>
    <w:rsid w:val="009647D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Griglia">
    <w:name w:val="Griglia"/>
    <w:basedOn w:val="Normale"/>
    <w:rsid w:val="009647D1"/>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480" w:lineRule="auto"/>
      <w:jc w:val="left"/>
      <w:textAlignment w:val="auto"/>
    </w:pPr>
    <w:rPr>
      <w:rFonts w:ascii="Times New Roman" w:hAnsi="Times New Roman"/>
      <w:sz w:val="20"/>
    </w:rPr>
  </w:style>
  <w:style w:type="character" w:styleId="Rimandocommento">
    <w:name w:val="annotation reference"/>
    <w:basedOn w:val="Carpredefinitoparagrafo"/>
    <w:uiPriority w:val="99"/>
    <w:semiHidden/>
    <w:unhideWhenUsed/>
    <w:rsid w:val="00D952AD"/>
    <w:rPr>
      <w:sz w:val="16"/>
      <w:szCs w:val="16"/>
    </w:rPr>
  </w:style>
  <w:style w:type="paragraph" w:styleId="Testocommento">
    <w:name w:val="annotation text"/>
    <w:basedOn w:val="Normale"/>
    <w:link w:val="TestocommentoCarattere"/>
    <w:uiPriority w:val="99"/>
    <w:semiHidden/>
    <w:unhideWhenUsed/>
    <w:rsid w:val="00D952AD"/>
    <w:rPr>
      <w:sz w:val="20"/>
    </w:rPr>
  </w:style>
  <w:style w:type="character" w:customStyle="1" w:styleId="TestocommentoCarattere">
    <w:name w:val="Testo commento Carattere"/>
    <w:basedOn w:val="Carpredefinitoparagrafo"/>
    <w:link w:val="Testocommento"/>
    <w:uiPriority w:val="99"/>
    <w:semiHidden/>
    <w:rsid w:val="00D952AD"/>
    <w:rPr>
      <w:rFonts w:ascii="Courier" w:eastAsia="Times New Roman" w:hAnsi="Courier"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52AD"/>
    <w:rPr>
      <w:b/>
      <w:bCs/>
    </w:rPr>
  </w:style>
  <w:style w:type="character" w:customStyle="1" w:styleId="SoggettocommentoCarattere">
    <w:name w:val="Soggetto commento Carattere"/>
    <w:basedOn w:val="TestocommentoCarattere"/>
    <w:link w:val="Soggettocommento"/>
    <w:uiPriority w:val="99"/>
    <w:semiHidden/>
    <w:rsid w:val="00D952AD"/>
    <w:rPr>
      <w:rFonts w:ascii="Courier" w:eastAsia="Times New Roman" w:hAnsi="Courier"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271">
      <w:bodyDiv w:val="1"/>
      <w:marLeft w:val="0"/>
      <w:marRight w:val="0"/>
      <w:marTop w:val="0"/>
      <w:marBottom w:val="0"/>
      <w:divBdr>
        <w:top w:val="none" w:sz="0" w:space="0" w:color="auto"/>
        <w:left w:val="none" w:sz="0" w:space="0" w:color="auto"/>
        <w:bottom w:val="none" w:sz="0" w:space="0" w:color="auto"/>
        <w:right w:val="none" w:sz="0" w:space="0" w:color="auto"/>
      </w:divBdr>
    </w:div>
    <w:div w:id="179200694">
      <w:bodyDiv w:val="1"/>
      <w:marLeft w:val="0"/>
      <w:marRight w:val="0"/>
      <w:marTop w:val="0"/>
      <w:marBottom w:val="0"/>
      <w:divBdr>
        <w:top w:val="none" w:sz="0" w:space="0" w:color="auto"/>
        <w:left w:val="none" w:sz="0" w:space="0" w:color="auto"/>
        <w:bottom w:val="none" w:sz="0" w:space="0" w:color="auto"/>
        <w:right w:val="none" w:sz="0" w:space="0" w:color="auto"/>
      </w:divBdr>
    </w:div>
    <w:div w:id="195001139">
      <w:bodyDiv w:val="1"/>
      <w:marLeft w:val="0"/>
      <w:marRight w:val="0"/>
      <w:marTop w:val="0"/>
      <w:marBottom w:val="0"/>
      <w:divBdr>
        <w:top w:val="none" w:sz="0" w:space="0" w:color="auto"/>
        <w:left w:val="none" w:sz="0" w:space="0" w:color="auto"/>
        <w:bottom w:val="none" w:sz="0" w:space="0" w:color="auto"/>
        <w:right w:val="none" w:sz="0" w:space="0" w:color="auto"/>
      </w:divBdr>
    </w:div>
    <w:div w:id="278149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8045">
          <w:marLeft w:val="0"/>
          <w:marRight w:val="0"/>
          <w:marTop w:val="0"/>
          <w:marBottom w:val="0"/>
          <w:divBdr>
            <w:top w:val="none" w:sz="0" w:space="0" w:color="auto"/>
            <w:left w:val="none" w:sz="0" w:space="0" w:color="auto"/>
            <w:bottom w:val="none" w:sz="0" w:space="0" w:color="auto"/>
            <w:right w:val="none" w:sz="0" w:space="0" w:color="auto"/>
          </w:divBdr>
          <w:divsChild>
            <w:div w:id="172454672">
              <w:marLeft w:val="-113"/>
              <w:marRight w:val="-113"/>
              <w:marTop w:val="0"/>
              <w:marBottom w:val="0"/>
              <w:divBdr>
                <w:top w:val="none" w:sz="0" w:space="0" w:color="auto"/>
                <w:left w:val="none" w:sz="0" w:space="0" w:color="auto"/>
                <w:bottom w:val="none" w:sz="0" w:space="0" w:color="auto"/>
                <w:right w:val="none" w:sz="0" w:space="0" w:color="auto"/>
              </w:divBdr>
              <w:divsChild>
                <w:div w:id="1678725299">
                  <w:marLeft w:val="0"/>
                  <w:marRight w:val="0"/>
                  <w:marTop w:val="0"/>
                  <w:marBottom w:val="0"/>
                  <w:divBdr>
                    <w:top w:val="none" w:sz="0" w:space="0" w:color="auto"/>
                    <w:left w:val="none" w:sz="0" w:space="0" w:color="auto"/>
                    <w:bottom w:val="none" w:sz="0" w:space="0" w:color="auto"/>
                    <w:right w:val="none" w:sz="0" w:space="0" w:color="auto"/>
                  </w:divBdr>
                  <w:divsChild>
                    <w:div w:id="1644001601">
                      <w:marLeft w:val="0"/>
                      <w:marRight w:val="0"/>
                      <w:marTop w:val="0"/>
                      <w:marBottom w:val="0"/>
                      <w:divBdr>
                        <w:top w:val="none" w:sz="0" w:space="0" w:color="auto"/>
                        <w:left w:val="none" w:sz="0" w:space="0" w:color="auto"/>
                        <w:bottom w:val="none" w:sz="0" w:space="0" w:color="auto"/>
                        <w:right w:val="none" w:sz="0" w:space="0" w:color="auto"/>
                      </w:divBdr>
                      <w:divsChild>
                        <w:div w:id="927885228">
                          <w:marLeft w:val="0"/>
                          <w:marRight w:val="0"/>
                          <w:marTop w:val="0"/>
                          <w:marBottom w:val="0"/>
                          <w:divBdr>
                            <w:top w:val="none" w:sz="0" w:space="0" w:color="auto"/>
                            <w:left w:val="none" w:sz="0" w:space="0" w:color="auto"/>
                            <w:bottom w:val="none" w:sz="0" w:space="0" w:color="auto"/>
                            <w:right w:val="none" w:sz="0" w:space="0" w:color="auto"/>
                          </w:divBdr>
                          <w:divsChild>
                            <w:div w:id="165559478">
                              <w:marLeft w:val="0"/>
                              <w:marRight w:val="0"/>
                              <w:marTop w:val="0"/>
                              <w:marBottom w:val="0"/>
                              <w:divBdr>
                                <w:top w:val="none" w:sz="0" w:space="0" w:color="auto"/>
                                <w:left w:val="none" w:sz="0" w:space="0" w:color="auto"/>
                                <w:bottom w:val="none" w:sz="0" w:space="0" w:color="auto"/>
                                <w:right w:val="none" w:sz="0" w:space="0" w:color="auto"/>
                              </w:divBdr>
                            </w:div>
                            <w:div w:id="559636375">
                              <w:marLeft w:val="0"/>
                              <w:marRight w:val="0"/>
                              <w:marTop w:val="0"/>
                              <w:marBottom w:val="0"/>
                              <w:divBdr>
                                <w:top w:val="none" w:sz="0" w:space="0" w:color="auto"/>
                                <w:left w:val="none" w:sz="0" w:space="0" w:color="auto"/>
                                <w:bottom w:val="none" w:sz="0" w:space="0" w:color="auto"/>
                                <w:right w:val="none" w:sz="0" w:space="0" w:color="auto"/>
                              </w:divBdr>
                            </w:div>
                            <w:div w:id="1262028029">
                              <w:marLeft w:val="0"/>
                              <w:marRight w:val="0"/>
                              <w:marTop w:val="0"/>
                              <w:marBottom w:val="0"/>
                              <w:divBdr>
                                <w:top w:val="none" w:sz="0" w:space="0" w:color="auto"/>
                                <w:left w:val="none" w:sz="0" w:space="0" w:color="auto"/>
                                <w:bottom w:val="none" w:sz="0" w:space="0" w:color="auto"/>
                                <w:right w:val="none" w:sz="0" w:space="0" w:color="auto"/>
                              </w:divBdr>
                            </w:div>
                            <w:div w:id="1546525331">
                              <w:marLeft w:val="0"/>
                              <w:marRight w:val="0"/>
                              <w:marTop w:val="0"/>
                              <w:marBottom w:val="0"/>
                              <w:divBdr>
                                <w:top w:val="none" w:sz="0" w:space="0" w:color="auto"/>
                                <w:left w:val="none" w:sz="0" w:space="0" w:color="auto"/>
                                <w:bottom w:val="none" w:sz="0" w:space="0" w:color="auto"/>
                                <w:right w:val="none" w:sz="0" w:space="0" w:color="auto"/>
                              </w:divBdr>
                            </w:div>
                            <w:div w:id="1397774620">
                              <w:marLeft w:val="0"/>
                              <w:marRight w:val="0"/>
                              <w:marTop w:val="0"/>
                              <w:marBottom w:val="0"/>
                              <w:divBdr>
                                <w:top w:val="none" w:sz="0" w:space="0" w:color="auto"/>
                                <w:left w:val="none" w:sz="0" w:space="0" w:color="auto"/>
                                <w:bottom w:val="none" w:sz="0" w:space="0" w:color="auto"/>
                                <w:right w:val="none" w:sz="0" w:space="0" w:color="auto"/>
                              </w:divBdr>
                            </w:div>
                            <w:div w:id="653140721">
                              <w:marLeft w:val="0"/>
                              <w:marRight w:val="0"/>
                              <w:marTop w:val="0"/>
                              <w:marBottom w:val="0"/>
                              <w:divBdr>
                                <w:top w:val="none" w:sz="0" w:space="0" w:color="auto"/>
                                <w:left w:val="none" w:sz="0" w:space="0" w:color="auto"/>
                                <w:bottom w:val="none" w:sz="0" w:space="0" w:color="auto"/>
                                <w:right w:val="none" w:sz="0" w:space="0" w:color="auto"/>
                              </w:divBdr>
                            </w:div>
                            <w:div w:id="453213169">
                              <w:marLeft w:val="0"/>
                              <w:marRight w:val="0"/>
                              <w:marTop w:val="0"/>
                              <w:marBottom w:val="0"/>
                              <w:divBdr>
                                <w:top w:val="none" w:sz="0" w:space="0" w:color="auto"/>
                                <w:left w:val="none" w:sz="0" w:space="0" w:color="auto"/>
                                <w:bottom w:val="none" w:sz="0" w:space="0" w:color="auto"/>
                                <w:right w:val="none" w:sz="0" w:space="0" w:color="auto"/>
                              </w:divBdr>
                            </w:div>
                            <w:div w:id="1760130856">
                              <w:marLeft w:val="0"/>
                              <w:marRight w:val="0"/>
                              <w:marTop w:val="0"/>
                              <w:marBottom w:val="0"/>
                              <w:divBdr>
                                <w:top w:val="none" w:sz="0" w:space="0" w:color="auto"/>
                                <w:left w:val="none" w:sz="0" w:space="0" w:color="auto"/>
                                <w:bottom w:val="none" w:sz="0" w:space="0" w:color="auto"/>
                                <w:right w:val="none" w:sz="0" w:space="0" w:color="auto"/>
                              </w:divBdr>
                            </w:div>
                            <w:div w:id="1524975871">
                              <w:marLeft w:val="0"/>
                              <w:marRight w:val="0"/>
                              <w:marTop w:val="0"/>
                              <w:marBottom w:val="0"/>
                              <w:divBdr>
                                <w:top w:val="none" w:sz="0" w:space="0" w:color="auto"/>
                                <w:left w:val="none" w:sz="0" w:space="0" w:color="auto"/>
                                <w:bottom w:val="none" w:sz="0" w:space="0" w:color="auto"/>
                                <w:right w:val="none" w:sz="0" w:space="0" w:color="auto"/>
                              </w:divBdr>
                            </w:div>
                            <w:div w:id="1788309184">
                              <w:marLeft w:val="0"/>
                              <w:marRight w:val="0"/>
                              <w:marTop w:val="0"/>
                              <w:marBottom w:val="0"/>
                              <w:divBdr>
                                <w:top w:val="none" w:sz="0" w:space="0" w:color="auto"/>
                                <w:left w:val="none" w:sz="0" w:space="0" w:color="auto"/>
                                <w:bottom w:val="none" w:sz="0" w:space="0" w:color="auto"/>
                                <w:right w:val="none" w:sz="0" w:space="0" w:color="auto"/>
                              </w:divBdr>
                            </w:div>
                            <w:div w:id="1464082472">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9463">
      <w:bodyDiv w:val="1"/>
      <w:marLeft w:val="0"/>
      <w:marRight w:val="0"/>
      <w:marTop w:val="0"/>
      <w:marBottom w:val="0"/>
      <w:divBdr>
        <w:top w:val="none" w:sz="0" w:space="0" w:color="auto"/>
        <w:left w:val="none" w:sz="0" w:space="0" w:color="auto"/>
        <w:bottom w:val="none" w:sz="0" w:space="0" w:color="auto"/>
        <w:right w:val="none" w:sz="0" w:space="0" w:color="auto"/>
      </w:divBdr>
    </w:div>
    <w:div w:id="383069220">
      <w:bodyDiv w:val="1"/>
      <w:marLeft w:val="0"/>
      <w:marRight w:val="0"/>
      <w:marTop w:val="0"/>
      <w:marBottom w:val="0"/>
      <w:divBdr>
        <w:top w:val="none" w:sz="0" w:space="0" w:color="auto"/>
        <w:left w:val="none" w:sz="0" w:space="0" w:color="auto"/>
        <w:bottom w:val="none" w:sz="0" w:space="0" w:color="auto"/>
        <w:right w:val="none" w:sz="0" w:space="0" w:color="auto"/>
      </w:divBdr>
      <w:divsChild>
        <w:div w:id="63266339">
          <w:marLeft w:val="0"/>
          <w:marRight w:val="0"/>
          <w:marTop w:val="0"/>
          <w:marBottom w:val="0"/>
          <w:divBdr>
            <w:top w:val="none" w:sz="0" w:space="0" w:color="auto"/>
            <w:left w:val="none" w:sz="0" w:space="0" w:color="auto"/>
            <w:bottom w:val="none" w:sz="0" w:space="0" w:color="auto"/>
            <w:right w:val="none" w:sz="0" w:space="0" w:color="auto"/>
          </w:divBdr>
          <w:divsChild>
            <w:div w:id="1096944414">
              <w:marLeft w:val="0"/>
              <w:marRight w:val="0"/>
              <w:marTop w:val="0"/>
              <w:marBottom w:val="75"/>
              <w:divBdr>
                <w:top w:val="none" w:sz="0" w:space="0" w:color="auto"/>
                <w:left w:val="none" w:sz="0" w:space="0" w:color="auto"/>
                <w:bottom w:val="none" w:sz="0" w:space="0" w:color="auto"/>
                <w:right w:val="none" w:sz="0" w:space="0" w:color="auto"/>
              </w:divBdr>
              <w:divsChild>
                <w:div w:id="487869150">
                  <w:marLeft w:val="0"/>
                  <w:marRight w:val="0"/>
                  <w:marTop w:val="0"/>
                  <w:marBottom w:val="0"/>
                  <w:divBdr>
                    <w:top w:val="none" w:sz="0" w:space="0" w:color="auto"/>
                    <w:left w:val="none" w:sz="0" w:space="0" w:color="auto"/>
                    <w:bottom w:val="none" w:sz="0" w:space="0" w:color="auto"/>
                    <w:right w:val="none" w:sz="0" w:space="0" w:color="auto"/>
                  </w:divBdr>
                  <w:divsChild>
                    <w:div w:id="711267247">
                      <w:marLeft w:val="0"/>
                      <w:marRight w:val="0"/>
                      <w:marTop w:val="0"/>
                      <w:marBottom w:val="0"/>
                      <w:divBdr>
                        <w:top w:val="none" w:sz="0" w:space="0" w:color="auto"/>
                        <w:left w:val="none" w:sz="0" w:space="0" w:color="auto"/>
                        <w:bottom w:val="none" w:sz="0" w:space="0" w:color="auto"/>
                        <w:right w:val="none" w:sz="0" w:space="0" w:color="auto"/>
                      </w:divBdr>
                      <w:divsChild>
                        <w:div w:id="1452747893">
                          <w:marLeft w:val="0"/>
                          <w:marRight w:val="0"/>
                          <w:marTop w:val="0"/>
                          <w:marBottom w:val="0"/>
                          <w:divBdr>
                            <w:top w:val="none" w:sz="0" w:space="0" w:color="auto"/>
                            <w:left w:val="none" w:sz="0" w:space="0" w:color="auto"/>
                            <w:bottom w:val="none" w:sz="0" w:space="0" w:color="auto"/>
                            <w:right w:val="none" w:sz="0" w:space="0" w:color="auto"/>
                          </w:divBdr>
                          <w:divsChild>
                            <w:div w:id="1157696845">
                              <w:marLeft w:val="0"/>
                              <w:marRight w:val="0"/>
                              <w:marTop w:val="0"/>
                              <w:marBottom w:val="0"/>
                              <w:divBdr>
                                <w:top w:val="none" w:sz="0" w:space="0" w:color="auto"/>
                                <w:left w:val="none" w:sz="0" w:space="0" w:color="auto"/>
                                <w:bottom w:val="none" w:sz="0" w:space="0" w:color="auto"/>
                                <w:right w:val="none" w:sz="0" w:space="0" w:color="auto"/>
                              </w:divBdr>
                              <w:divsChild>
                                <w:div w:id="2061400738">
                                  <w:marLeft w:val="0"/>
                                  <w:marRight w:val="-1800"/>
                                  <w:marTop w:val="75"/>
                                  <w:marBottom w:val="0"/>
                                  <w:divBdr>
                                    <w:top w:val="none" w:sz="0" w:space="0" w:color="auto"/>
                                    <w:left w:val="none" w:sz="0" w:space="0" w:color="auto"/>
                                    <w:bottom w:val="none" w:sz="0" w:space="0" w:color="auto"/>
                                    <w:right w:val="none" w:sz="0" w:space="0" w:color="auto"/>
                                  </w:divBdr>
                                  <w:divsChild>
                                    <w:div w:id="819879989">
                                      <w:marLeft w:val="0"/>
                                      <w:marRight w:val="1800"/>
                                      <w:marTop w:val="0"/>
                                      <w:marBottom w:val="0"/>
                                      <w:divBdr>
                                        <w:top w:val="none" w:sz="0" w:space="0" w:color="auto"/>
                                        <w:left w:val="none" w:sz="0" w:space="0" w:color="auto"/>
                                        <w:bottom w:val="none" w:sz="0" w:space="0" w:color="auto"/>
                                        <w:right w:val="none" w:sz="0" w:space="0" w:color="auto"/>
                                      </w:divBdr>
                                      <w:divsChild>
                                        <w:div w:id="1656716188">
                                          <w:marLeft w:val="0"/>
                                          <w:marRight w:val="0"/>
                                          <w:marTop w:val="0"/>
                                          <w:marBottom w:val="0"/>
                                          <w:divBdr>
                                            <w:top w:val="none" w:sz="0" w:space="0" w:color="auto"/>
                                            <w:left w:val="none" w:sz="0" w:space="0" w:color="auto"/>
                                            <w:bottom w:val="none" w:sz="0" w:space="0" w:color="auto"/>
                                            <w:right w:val="none" w:sz="0" w:space="0" w:color="auto"/>
                                          </w:divBdr>
                                          <w:divsChild>
                                            <w:div w:id="1711295686">
                                              <w:marLeft w:val="0"/>
                                              <w:marRight w:val="0"/>
                                              <w:marTop w:val="0"/>
                                              <w:marBottom w:val="0"/>
                                              <w:divBdr>
                                                <w:top w:val="none" w:sz="0" w:space="0" w:color="auto"/>
                                                <w:left w:val="none" w:sz="0" w:space="0" w:color="auto"/>
                                                <w:bottom w:val="none" w:sz="0" w:space="0" w:color="auto"/>
                                                <w:right w:val="none" w:sz="0" w:space="0" w:color="auto"/>
                                              </w:divBdr>
                                              <w:divsChild>
                                                <w:div w:id="189415481">
                                                  <w:marLeft w:val="0"/>
                                                  <w:marRight w:val="0"/>
                                                  <w:marTop w:val="0"/>
                                                  <w:marBottom w:val="0"/>
                                                  <w:divBdr>
                                                    <w:top w:val="none" w:sz="0" w:space="0" w:color="auto"/>
                                                    <w:left w:val="none" w:sz="0" w:space="0" w:color="auto"/>
                                                    <w:bottom w:val="none" w:sz="0" w:space="0" w:color="auto"/>
                                                    <w:right w:val="none" w:sz="0" w:space="0" w:color="auto"/>
                                                  </w:divBdr>
                                                  <w:divsChild>
                                                    <w:div w:id="1760828408">
                                                      <w:marLeft w:val="0"/>
                                                      <w:marRight w:val="0"/>
                                                      <w:marTop w:val="0"/>
                                                      <w:marBottom w:val="0"/>
                                                      <w:divBdr>
                                                        <w:top w:val="none" w:sz="0" w:space="0" w:color="auto"/>
                                                        <w:left w:val="none" w:sz="0" w:space="0" w:color="auto"/>
                                                        <w:bottom w:val="none" w:sz="0" w:space="0" w:color="auto"/>
                                                        <w:right w:val="none" w:sz="0" w:space="0" w:color="auto"/>
                                                      </w:divBdr>
                                                      <w:divsChild>
                                                        <w:div w:id="1270549013">
                                                          <w:marLeft w:val="0"/>
                                                          <w:marRight w:val="0"/>
                                                          <w:marTop w:val="0"/>
                                                          <w:marBottom w:val="0"/>
                                                          <w:divBdr>
                                                            <w:top w:val="none" w:sz="0" w:space="0" w:color="auto"/>
                                                            <w:left w:val="none" w:sz="0" w:space="0" w:color="auto"/>
                                                            <w:bottom w:val="none" w:sz="0" w:space="0" w:color="auto"/>
                                                            <w:right w:val="none" w:sz="0" w:space="0" w:color="auto"/>
                                                          </w:divBdr>
                                                        </w:div>
                                                        <w:div w:id="1580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027716">
      <w:bodyDiv w:val="1"/>
      <w:marLeft w:val="0"/>
      <w:marRight w:val="0"/>
      <w:marTop w:val="0"/>
      <w:marBottom w:val="0"/>
      <w:divBdr>
        <w:top w:val="none" w:sz="0" w:space="0" w:color="auto"/>
        <w:left w:val="none" w:sz="0" w:space="0" w:color="auto"/>
        <w:bottom w:val="none" w:sz="0" w:space="0" w:color="auto"/>
        <w:right w:val="none" w:sz="0" w:space="0" w:color="auto"/>
      </w:divBdr>
    </w:div>
    <w:div w:id="461339351">
      <w:bodyDiv w:val="1"/>
      <w:marLeft w:val="0"/>
      <w:marRight w:val="0"/>
      <w:marTop w:val="0"/>
      <w:marBottom w:val="0"/>
      <w:divBdr>
        <w:top w:val="none" w:sz="0" w:space="0" w:color="auto"/>
        <w:left w:val="none" w:sz="0" w:space="0" w:color="auto"/>
        <w:bottom w:val="none" w:sz="0" w:space="0" w:color="auto"/>
        <w:right w:val="none" w:sz="0" w:space="0" w:color="auto"/>
      </w:divBdr>
    </w:div>
    <w:div w:id="503395190">
      <w:bodyDiv w:val="1"/>
      <w:marLeft w:val="0"/>
      <w:marRight w:val="0"/>
      <w:marTop w:val="0"/>
      <w:marBottom w:val="0"/>
      <w:divBdr>
        <w:top w:val="single" w:sz="2" w:space="0" w:color="DC513A"/>
        <w:left w:val="none" w:sz="0" w:space="0" w:color="auto"/>
        <w:bottom w:val="none" w:sz="0" w:space="0" w:color="auto"/>
        <w:right w:val="none" w:sz="0" w:space="0" w:color="auto"/>
      </w:divBdr>
      <w:divsChild>
        <w:div w:id="1119761586">
          <w:marLeft w:val="0"/>
          <w:marRight w:val="0"/>
          <w:marTop w:val="0"/>
          <w:marBottom w:val="0"/>
          <w:divBdr>
            <w:top w:val="none" w:sz="0" w:space="0" w:color="auto"/>
            <w:left w:val="none" w:sz="0" w:space="0" w:color="auto"/>
            <w:bottom w:val="none" w:sz="0" w:space="0" w:color="auto"/>
            <w:right w:val="none" w:sz="0" w:space="0" w:color="auto"/>
          </w:divBdr>
        </w:div>
      </w:divsChild>
    </w:div>
    <w:div w:id="552816597">
      <w:bodyDiv w:val="1"/>
      <w:marLeft w:val="0"/>
      <w:marRight w:val="0"/>
      <w:marTop w:val="0"/>
      <w:marBottom w:val="0"/>
      <w:divBdr>
        <w:top w:val="none" w:sz="0" w:space="0" w:color="auto"/>
        <w:left w:val="none" w:sz="0" w:space="0" w:color="auto"/>
        <w:bottom w:val="none" w:sz="0" w:space="0" w:color="auto"/>
        <w:right w:val="none" w:sz="0" w:space="0" w:color="auto"/>
      </w:divBdr>
    </w:div>
    <w:div w:id="797527008">
      <w:bodyDiv w:val="1"/>
      <w:marLeft w:val="0"/>
      <w:marRight w:val="0"/>
      <w:marTop w:val="0"/>
      <w:marBottom w:val="0"/>
      <w:divBdr>
        <w:top w:val="none" w:sz="0" w:space="0" w:color="auto"/>
        <w:left w:val="none" w:sz="0" w:space="0" w:color="auto"/>
        <w:bottom w:val="none" w:sz="0" w:space="0" w:color="auto"/>
        <w:right w:val="none" w:sz="0" w:space="0" w:color="auto"/>
      </w:divBdr>
    </w:div>
    <w:div w:id="871922292">
      <w:bodyDiv w:val="1"/>
      <w:marLeft w:val="0"/>
      <w:marRight w:val="0"/>
      <w:marTop w:val="0"/>
      <w:marBottom w:val="0"/>
      <w:divBdr>
        <w:top w:val="none" w:sz="0" w:space="0" w:color="auto"/>
        <w:left w:val="none" w:sz="0" w:space="0" w:color="auto"/>
        <w:bottom w:val="none" w:sz="0" w:space="0" w:color="auto"/>
        <w:right w:val="none" w:sz="0" w:space="0" w:color="auto"/>
      </w:divBdr>
      <w:divsChild>
        <w:div w:id="1254703560">
          <w:marLeft w:val="0"/>
          <w:marRight w:val="0"/>
          <w:marTop w:val="0"/>
          <w:marBottom w:val="0"/>
          <w:divBdr>
            <w:top w:val="none" w:sz="0" w:space="0" w:color="auto"/>
            <w:left w:val="none" w:sz="0" w:space="0" w:color="auto"/>
            <w:bottom w:val="none" w:sz="0" w:space="0" w:color="auto"/>
            <w:right w:val="none" w:sz="0" w:space="0" w:color="auto"/>
          </w:divBdr>
          <w:divsChild>
            <w:div w:id="1078403233">
              <w:marLeft w:val="0"/>
              <w:marRight w:val="0"/>
              <w:marTop w:val="0"/>
              <w:marBottom w:val="0"/>
              <w:divBdr>
                <w:top w:val="none" w:sz="0" w:space="0" w:color="auto"/>
                <w:left w:val="none" w:sz="0" w:space="0" w:color="auto"/>
                <w:bottom w:val="none" w:sz="0" w:space="0" w:color="auto"/>
                <w:right w:val="none" w:sz="0" w:space="0" w:color="auto"/>
              </w:divBdr>
              <w:divsChild>
                <w:div w:id="1103068597">
                  <w:marLeft w:val="0"/>
                  <w:marRight w:val="225"/>
                  <w:marTop w:val="0"/>
                  <w:marBottom w:val="0"/>
                  <w:divBdr>
                    <w:top w:val="none" w:sz="0" w:space="0" w:color="auto"/>
                    <w:left w:val="none" w:sz="0" w:space="0" w:color="auto"/>
                    <w:bottom w:val="none" w:sz="0" w:space="0" w:color="auto"/>
                    <w:right w:val="none" w:sz="0" w:space="0" w:color="auto"/>
                  </w:divBdr>
                  <w:divsChild>
                    <w:div w:id="20761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362">
      <w:bodyDiv w:val="1"/>
      <w:marLeft w:val="0"/>
      <w:marRight w:val="0"/>
      <w:marTop w:val="0"/>
      <w:marBottom w:val="0"/>
      <w:divBdr>
        <w:top w:val="none" w:sz="0" w:space="0" w:color="auto"/>
        <w:left w:val="none" w:sz="0" w:space="0" w:color="auto"/>
        <w:bottom w:val="none" w:sz="0" w:space="0" w:color="auto"/>
        <w:right w:val="none" w:sz="0" w:space="0" w:color="auto"/>
      </w:divBdr>
      <w:divsChild>
        <w:div w:id="659776540">
          <w:marLeft w:val="0"/>
          <w:marRight w:val="0"/>
          <w:marTop w:val="0"/>
          <w:marBottom w:val="0"/>
          <w:divBdr>
            <w:top w:val="none" w:sz="0" w:space="0" w:color="auto"/>
            <w:left w:val="none" w:sz="0" w:space="0" w:color="auto"/>
            <w:bottom w:val="none" w:sz="0" w:space="0" w:color="auto"/>
            <w:right w:val="none" w:sz="0" w:space="0" w:color="auto"/>
          </w:divBdr>
          <w:divsChild>
            <w:div w:id="2121216898">
              <w:marLeft w:val="0"/>
              <w:marRight w:val="0"/>
              <w:marTop w:val="0"/>
              <w:marBottom w:val="225"/>
              <w:divBdr>
                <w:top w:val="none" w:sz="0" w:space="0" w:color="auto"/>
                <w:left w:val="none" w:sz="0" w:space="0" w:color="auto"/>
                <w:bottom w:val="none" w:sz="0" w:space="0" w:color="auto"/>
                <w:right w:val="none" w:sz="0" w:space="0" w:color="auto"/>
              </w:divBdr>
              <w:divsChild>
                <w:div w:id="1403215848">
                  <w:marLeft w:val="0"/>
                  <w:marRight w:val="0"/>
                  <w:marTop w:val="0"/>
                  <w:marBottom w:val="0"/>
                  <w:divBdr>
                    <w:top w:val="none" w:sz="0" w:space="0" w:color="auto"/>
                    <w:left w:val="none" w:sz="0" w:space="0" w:color="auto"/>
                    <w:bottom w:val="none" w:sz="0" w:space="0" w:color="auto"/>
                    <w:right w:val="none" w:sz="0" w:space="0" w:color="auto"/>
                  </w:divBdr>
                  <w:divsChild>
                    <w:div w:id="1031612334">
                      <w:marLeft w:val="0"/>
                      <w:marRight w:val="0"/>
                      <w:marTop w:val="0"/>
                      <w:marBottom w:val="0"/>
                      <w:divBdr>
                        <w:top w:val="none" w:sz="0" w:space="0" w:color="auto"/>
                        <w:left w:val="none" w:sz="0" w:space="0" w:color="auto"/>
                        <w:bottom w:val="none" w:sz="0" w:space="0" w:color="auto"/>
                        <w:right w:val="none" w:sz="0" w:space="0" w:color="auto"/>
                      </w:divBdr>
                      <w:divsChild>
                        <w:div w:id="492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5930">
      <w:bodyDiv w:val="1"/>
      <w:marLeft w:val="0"/>
      <w:marRight w:val="0"/>
      <w:marTop w:val="0"/>
      <w:marBottom w:val="0"/>
      <w:divBdr>
        <w:top w:val="none" w:sz="0" w:space="0" w:color="auto"/>
        <w:left w:val="none" w:sz="0" w:space="0" w:color="auto"/>
        <w:bottom w:val="none" w:sz="0" w:space="0" w:color="auto"/>
        <w:right w:val="none" w:sz="0" w:space="0" w:color="auto"/>
      </w:divBdr>
    </w:div>
    <w:div w:id="1317756513">
      <w:bodyDiv w:val="1"/>
      <w:marLeft w:val="0"/>
      <w:marRight w:val="0"/>
      <w:marTop w:val="0"/>
      <w:marBottom w:val="0"/>
      <w:divBdr>
        <w:top w:val="none" w:sz="0" w:space="0" w:color="auto"/>
        <w:left w:val="none" w:sz="0" w:space="0" w:color="auto"/>
        <w:bottom w:val="none" w:sz="0" w:space="0" w:color="auto"/>
        <w:right w:val="none" w:sz="0" w:space="0" w:color="auto"/>
      </w:divBdr>
    </w:div>
    <w:div w:id="1343818412">
      <w:bodyDiv w:val="1"/>
      <w:marLeft w:val="0"/>
      <w:marRight w:val="0"/>
      <w:marTop w:val="0"/>
      <w:marBottom w:val="0"/>
      <w:divBdr>
        <w:top w:val="none" w:sz="0" w:space="0" w:color="auto"/>
        <w:left w:val="none" w:sz="0" w:space="0" w:color="auto"/>
        <w:bottom w:val="none" w:sz="0" w:space="0" w:color="auto"/>
        <w:right w:val="none" w:sz="0" w:space="0" w:color="auto"/>
      </w:divBdr>
      <w:divsChild>
        <w:div w:id="1370837600">
          <w:marLeft w:val="0"/>
          <w:marRight w:val="0"/>
          <w:marTop w:val="0"/>
          <w:marBottom w:val="0"/>
          <w:divBdr>
            <w:top w:val="none" w:sz="0" w:space="0" w:color="auto"/>
            <w:left w:val="none" w:sz="0" w:space="0" w:color="auto"/>
            <w:bottom w:val="none" w:sz="0" w:space="0" w:color="auto"/>
            <w:right w:val="none" w:sz="0" w:space="0" w:color="auto"/>
          </w:divBdr>
          <w:divsChild>
            <w:div w:id="433524165">
              <w:marLeft w:val="0"/>
              <w:marRight w:val="0"/>
              <w:marTop w:val="0"/>
              <w:marBottom w:val="0"/>
              <w:divBdr>
                <w:top w:val="none" w:sz="0" w:space="0" w:color="auto"/>
                <w:left w:val="none" w:sz="0" w:space="0" w:color="auto"/>
                <w:bottom w:val="none" w:sz="0" w:space="0" w:color="auto"/>
                <w:right w:val="none" w:sz="0" w:space="0" w:color="auto"/>
              </w:divBdr>
              <w:divsChild>
                <w:div w:id="1392653376">
                  <w:marLeft w:val="0"/>
                  <w:marRight w:val="0"/>
                  <w:marTop w:val="0"/>
                  <w:marBottom w:val="0"/>
                  <w:divBdr>
                    <w:top w:val="none" w:sz="0" w:space="0" w:color="auto"/>
                    <w:left w:val="none" w:sz="0" w:space="0" w:color="auto"/>
                    <w:bottom w:val="none" w:sz="0" w:space="0" w:color="auto"/>
                    <w:right w:val="none" w:sz="0" w:space="0" w:color="auto"/>
                  </w:divBdr>
                  <w:divsChild>
                    <w:div w:id="41558050">
                      <w:marLeft w:val="0"/>
                      <w:marRight w:val="0"/>
                      <w:marTop w:val="0"/>
                      <w:marBottom w:val="0"/>
                      <w:divBdr>
                        <w:top w:val="none" w:sz="0" w:space="0" w:color="auto"/>
                        <w:left w:val="none" w:sz="0" w:space="0" w:color="auto"/>
                        <w:bottom w:val="none" w:sz="0" w:space="0" w:color="auto"/>
                        <w:right w:val="none" w:sz="0" w:space="0" w:color="auto"/>
                      </w:divBdr>
                      <w:divsChild>
                        <w:div w:id="162017707">
                          <w:marLeft w:val="0"/>
                          <w:marRight w:val="0"/>
                          <w:marTop w:val="0"/>
                          <w:marBottom w:val="0"/>
                          <w:divBdr>
                            <w:top w:val="none" w:sz="0" w:space="0" w:color="auto"/>
                            <w:left w:val="none" w:sz="0" w:space="0" w:color="auto"/>
                            <w:bottom w:val="none" w:sz="0" w:space="0" w:color="auto"/>
                            <w:right w:val="none" w:sz="0" w:space="0" w:color="auto"/>
                          </w:divBdr>
                          <w:divsChild>
                            <w:div w:id="1918128931">
                              <w:marLeft w:val="0"/>
                              <w:marRight w:val="0"/>
                              <w:marTop w:val="0"/>
                              <w:marBottom w:val="0"/>
                              <w:divBdr>
                                <w:top w:val="none" w:sz="0" w:space="0" w:color="auto"/>
                                <w:left w:val="none" w:sz="0" w:space="0" w:color="auto"/>
                                <w:bottom w:val="none" w:sz="0" w:space="0" w:color="auto"/>
                                <w:right w:val="none" w:sz="0" w:space="0" w:color="auto"/>
                              </w:divBdr>
                              <w:divsChild>
                                <w:div w:id="1309818674">
                                  <w:marLeft w:val="0"/>
                                  <w:marRight w:val="0"/>
                                  <w:marTop w:val="0"/>
                                  <w:marBottom w:val="0"/>
                                  <w:divBdr>
                                    <w:top w:val="none" w:sz="0" w:space="0" w:color="auto"/>
                                    <w:left w:val="none" w:sz="0" w:space="0" w:color="auto"/>
                                    <w:bottom w:val="none" w:sz="0" w:space="0" w:color="auto"/>
                                    <w:right w:val="none" w:sz="0" w:space="0" w:color="auto"/>
                                  </w:divBdr>
                                  <w:divsChild>
                                    <w:div w:id="7924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601580">
      <w:bodyDiv w:val="1"/>
      <w:marLeft w:val="0"/>
      <w:marRight w:val="0"/>
      <w:marTop w:val="0"/>
      <w:marBottom w:val="0"/>
      <w:divBdr>
        <w:top w:val="none" w:sz="0" w:space="0" w:color="auto"/>
        <w:left w:val="none" w:sz="0" w:space="0" w:color="auto"/>
        <w:bottom w:val="none" w:sz="0" w:space="0" w:color="auto"/>
        <w:right w:val="none" w:sz="0" w:space="0" w:color="auto"/>
      </w:divBdr>
    </w:div>
    <w:div w:id="1405447896">
      <w:bodyDiv w:val="1"/>
      <w:marLeft w:val="0"/>
      <w:marRight w:val="0"/>
      <w:marTop w:val="0"/>
      <w:marBottom w:val="0"/>
      <w:divBdr>
        <w:top w:val="none" w:sz="0" w:space="0" w:color="auto"/>
        <w:left w:val="none" w:sz="0" w:space="0" w:color="auto"/>
        <w:bottom w:val="none" w:sz="0" w:space="0" w:color="auto"/>
        <w:right w:val="none" w:sz="0" w:space="0" w:color="auto"/>
      </w:divBdr>
    </w:div>
    <w:div w:id="1488284922">
      <w:bodyDiv w:val="1"/>
      <w:marLeft w:val="0"/>
      <w:marRight w:val="0"/>
      <w:marTop w:val="0"/>
      <w:marBottom w:val="0"/>
      <w:divBdr>
        <w:top w:val="none" w:sz="0" w:space="0" w:color="auto"/>
        <w:left w:val="none" w:sz="0" w:space="0" w:color="auto"/>
        <w:bottom w:val="none" w:sz="0" w:space="0" w:color="auto"/>
        <w:right w:val="none" w:sz="0" w:space="0" w:color="auto"/>
      </w:divBdr>
    </w:div>
    <w:div w:id="1517957990">
      <w:bodyDiv w:val="1"/>
      <w:marLeft w:val="0"/>
      <w:marRight w:val="0"/>
      <w:marTop w:val="0"/>
      <w:marBottom w:val="0"/>
      <w:divBdr>
        <w:top w:val="none" w:sz="0" w:space="0" w:color="auto"/>
        <w:left w:val="none" w:sz="0" w:space="0" w:color="auto"/>
        <w:bottom w:val="none" w:sz="0" w:space="0" w:color="auto"/>
        <w:right w:val="none" w:sz="0" w:space="0" w:color="auto"/>
      </w:divBdr>
    </w:div>
    <w:div w:id="1584677714">
      <w:bodyDiv w:val="1"/>
      <w:marLeft w:val="0"/>
      <w:marRight w:val="0"/>
      <w:marTop w:val="0"/>
      <w:marBottom w:val="0"/>
      <w:divBdr>
        <w:top w:val="none" w:sz="0" w:space="0" w:color="auto"/>
        <w:left w:val="none" w:sz="0" w:space="0" w:color="auto"/>
        <w:bottom w:val="none" w:sz="0" w:space="0" w:color="auto"/>
        <w:right w:val="none" w:sz="0" w:space="0" w:color="auto"/>
      </w:divBdr>
    </w:div>
    <w:div w:id="1621259093">
      <w:bodyDiv w:val="1"/>
      <w:marLeft w:val="0"/>
      <w:marRight w:val="0"/>
      <w:marTop w:val="0"/>
      <w:marBottom w:val="0"/>
      <w:divBdr>
        <w:top w:val="none" w:sz="0" w:space="0" w:color="auto"/>
        <w:left w:val="none" w:sz="0" w:space="0" w:color="auto"/>
        <w:bottom w:val="none" w:sz="0" w:space="0" w:color="auto"/>
        <w:right w:val="none" w:sz="0" w:space="0" w:color="auto"/>
      </w:divBdr>
      <w:divsChild>
        <w:div w:id="605160604">
          <w:marLeft w:val="0"/>
          <w:marRight w:val="0"/>
          <w:marTop w:val="0"/>
          <w:marBottom w:val="0"/>
          <w:divBdr>
            <w:top w:val="none" w:sz="0" w:space="0" w:color="auto"/>
            <w:left w:val="none" w:sz="0" w:space="0" w:color="auto"/>
            <w:bottom w:val="none" w:sz="0" w:space="0" w:color="auto"/>
            <w:right w:val="none" w:sz="0" w:space="0" w:color="auto"/>
          </w:divBdr>
          <w:divsChild>
            <w:div w:id="477233310">
              <w:marLeft w:val="0"/>
              <w:marRight w:val="0"/>
              <w:marTop w:val="0"/>
              <w:marBottom w:val="0"/>
              <w:divBdr>
                <w:top w:val="none" w:sz="0" w:space="0" w:color="auto"/>
                <w:left w:val="none" w:sz="0" w:space="0" w:color="auto"/>
                <w:bottom w:val="none" w:sz="0" w:space="0" w:color="auto"/>
                <w:right w:val="none" w:sz="0" w:space="0" w:color="auto"/>
              </w:divBdr>
              <w:divsChild>
                <w:div w:id="825128021">
                  <w:marLeft w:val="0"/>
                  <w:marRight w:val="0"/>
                  <w:marTop w:val="0"/>
                  <w:marBottom w:val="0"/>
                  <w:divBdr>
                    <w:top w:val="none" w:sz="0" w:space="0" w:color="auto"/>
                    <w:left w:val="none" w:sz="0" w:space="0" w:color="auto"/>
                    <w:bottom w:val="none" w:sz="0" w:space="0" w:color="auto"/>
                    <w:right w:val="none" w:sz="0" w:space="0" w:color="auto"/>
                  </w:divBdr>
                  <w:divsChild>
                    <w:div w:id="787703132">
                      <w:marLeft w:val="0"/>
                      <w:marRight w:val="0"/>
                      <w:marTop w:val="0"/>
                      <w:marBottom w:val="0"/>
                      <w:divBdr>
                        <w:top w:val="none" w:sz="0" w:space="0" w:color="auto"/>
                        <w:left w:val="none" w:sz="0" w:space="0" w:color="auto"/>
                        <w:bottom w:val="none" w:sz="0" w:space="0" w:color="auto"/>
                        <w:right w:val="none" w:sz="0" w:space="0" w:color="auto"/>
                      </w:divBdr>
                      <w:divsChild>
                        <w:div w:id="413624979">
                          <w:marLeft w:val="0"/>
                          <w:marRight w:val="0"/>
                          <w:marTop w:val="0"/>
                          <w:marBottom w:val="0"/>
                          <w:divBdr>
                            <w:top w:val="none" w:sz="0" w:space="0" w:color="auto"/>
                            <w:left w:val="none" w:sz="0" w:space="0" w:color="auto"/>
                            <w:bottom w:val="none" w:sz="0" w:space="0" w:color="auto"/>
                            <w:right w:val="none" w:sz="0" w:space="0" w:color="auto"/>
                          </w:divBdr>
                          <w:divsChild>
                            <w:div w:id="2030132878">
                              <w:marLeft w:val="0"/>
                              <w:marRight w:val="0"/>
                              <w:marTop w:val="0"/>
                              <w:marBottom w:val="0"/>
                              <w:divBdr>
                                <w:top w:val="none" w:sz="0" w:space="0" w:color="auto"/>
                                <w:left w:val="none" w:sz="0" w:space="0" w:color="auto"/>
                                <w:bottom w:val="none" w:sz="0" w:space="0" w:color="auto"/>
                                <w:right w:val="none" w:sz="0" w:space="0" w:color="auto"/>
                              </w:divBdr>
                              <w:divsChild>
                                <w:div w:id="1949315609">
                                  <w:marLeft w:val="0"/>
                                  <w:marRight w:val="0"/>
                                  <w:marTop w:val="0"/>
                                  <w:marBottom w:val="0"/>
                                  <w:divBdr>
                                    <w:top w:val="none" w:sz="0" w:space="0" w:color="auto"/>
                                    <w:left w:val="none" w:sz="0" w:space="0" w:color="auto"/>
                                    <w:bottom w:val="none" w:sz="0" w:space="0" w:color="auto"/>
                                    <w:right w:val="none" w:sz="0" w:space="0" w:color="auto"/>
                                  </w:divBdr>
                                  <w:divsChild>
                                    <w:div w:id="3035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747494">
      <w:bodyDiv w:val="1"/>
      <w:marLeft w:val="0"/>
      <w:marRight w:val="0"/>
      <w:marTop w:val="0"/>
      <w:marBottom w:val="0"/>
      <w:divBdr>
        <w:top w:val="none" w:sz="0" w:space="0" w:color="auto"/>
        <w:left w:val="none" w:sz="0" w:space="0" w:color="auto"/>
        <w:bottom w:val="none" w:sz="0" w:space="0" w:color="auto"/>
        <w:right w:val="none" w:sz="0" w:space="0" w:color="auto"/>
      </w:divBdr>
    </w:div>
    <w:div w:id="1808089319">
      <w:bodyDiv w:val="1"/>
      <w:marLeft w:val="0"/>
      <w:marRight w:val="0"/>
      <w:marTop w:val="0"/>
      <w:marBottom w:val="0"/>
      <w:divBdr>
        <w:top w:val="none" w:sz="0" w:space="0" w:color="auto"/>
        <w:left w:val="none" w:sz="0" w:space="0" w:color="auto"/>
        <w:bottom w:val="none" w:sz="0" w:space="0" w:color="auto"/>
        <w:right w:val="none" w:sz="0" w:space="0" w:color="auto"/>
      </w:divBdr>
    </w:div>
    <w:div w:id="2097358441">
      <w:bodyDiv w:val="1"/>
      <w:marLeft w:val="0"/>
      <w:marRight w:val="0"/>
      <w:marTop w:val="0"/>
      <w:marBottom w:val="0"/>
      <w:divBdr>
        <w:top w:val="none" w:sz="0" w:space="0" w:color="auto"/>
        <w:left w:val="none" w:sz="0" w:space="0" w:color="auto"/>
        <w:bottom w:val="none" w:sz="0" w:space="0" w:color="auto"/>
        <w:right w:val="none" w:sz="0" w:space="0" w:color="auto"/>
      </w:divBdr>
    </w:div>
    <w:div w:id="2130539247">
      <w:bodyDiv w:val="1"/>
      <w:marLeft w:val="0"/>
      <w:marRight w:val="0"/>
      <w:marTop w:val="0"/>
      <w:marBottom w:val="0"/>
      <w:divBdr>
        <w:top w:val="none" w:sz="0" w:space="0" w:color="auto"/>
        <w:left w:val="none" w:sz="0" w:space="0" w:color="auto"/>
        <w:bottom w:val="none" w:sz="0" w:space="0" w:color="auto"/>
        <w:right w:val="none" w:sz="0" w:space="0" w:color="auto"/>
      </w:divBdr>
      <w:divsChild>
        <w:div w:id="1046560012">
          <w:marLeft w:val="0"/>
          <w:marRight w:val="0"/>
          <w:marTop w:val="0"/>
          <w:marBottom w:val="0"/>
          <w:divBdr>
            <w:top w:val="none" w:sz="0" w:space="0" w:color="auto"/>
            <w:left w:val="none" w:sz="0" w:space="0" w:color="auto"/>
            <w:bottom w:val="none" w:sz="0" w:space="0" w:color="auto"/>
            <w:right w:val="none" w:sz="0" w:space="0" w:color="auto"/>
          </w:divBdr>
          <w:divsChild>
            <w:div w:id="366873786">
              <w:marLeft w:val="0"/>
              <w:marRight w:val="0"/>
              <w:marTop w:val="0"/>
              <w:marBottom w:val="0"/>
              <w:divBdr>
                <w:top w:val="none" w:sz="0" w:space="0" w:color="auto"/>
                <w:left w:val="none" w:sz="0" w:space="0" w:color="auto"/>
                <w:bottom w:val="none" w:sz="0" w:space="0" w:color="auto"/>
                <w:right w:val="none" w:sz="0" w:space="0" w:color="auto"/>
              </w:divBdr>
              <w:divsChild>
                <w:div w:id="871109797">
                  <w:marLeft w:val="0"/>
                  <w:marRight w:val="0"/>
                  <w:marTop w:val="0"/>
                  <w:marBottom w:val="0"/>
                  <w:divBdr>
                    <w:top w:val="none" w:sz="0" w:space="0" w:color="auto"/>
                    <w:left w:val="none" w:sz="0" w:space="0" w:color="auto"/>
                    <w:bottom w:val="none" w:sz="0" w:space="0" w:color="auto"/>
                    <w:right w:val="none" w:sz="0" w:space="0" w:color="auto"/>
                  </w:divBdr>
                  <w:divsChild>
                    <w:div w:id="1809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economic-performance-and-forecasts/economic-forecasts/summer-2020-economic-forecast-deeper-recession-wider-divergence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Tusci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072A-4629-4EF7-B043-53ACFD63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8365</Words>
  <Characters>47685</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Crocicchia</cp:lastModifiedBy>
  <cp:revision>4</cp:revision>
  <cp:lastPrinted>2020-10-23T08:08:00Z</cp:lastPrinted>
  <dcterms:created xsi:type="dcterms:W3CDTF">2020-10-28T09:27:00Z</dcterms:created>
  <dcterms:modified xsi:type="dcterms:W3CDTF">2020-10-30T09:39:00Z</dcterms:modified>
</cp:coreProperties>
</file>